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</w:t>
      </w:r>
      <w:r w:rsidRPr="001A429E">
        <w:rPr>
          <w:rFonts w:ascii="Times New Roman" w:hAnsi="Times New Roman" w:cs="Times New Roman"/>
          <w:sz w:val="24"/>
          <w:szCs w:val="24"/>
        </w:rPr>
        <w:t xml:space="preserve">от </w:t>
      </w:r>
      <w:r w:rsidR="0084275F">
        <w:rPr>
          <w:rFonts w:ascii="Times New Roman" w:hAnsi="Times New Roman" w:cs="Times New Roman"/>
          <w:sz w:val="24"/>
          <w:szCs w:val="24"/>
          <w:u w:val="single"/>
        </w:rPr>
        <w:t>25.03.2025</w:t>
      </w:r>
      <w:r w:rsidRPr="001A429E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84275F">
        <w:rPr>
          <w:rFonts w:ascii="Times New Roman" w:hAnsi="Times New Roman" w:cs="Times New Roman"/>
          <w:sz w:val="24"/>
          <w:szCs w:val="24"/>
          <w:u w:val="single"/>
        </w:rPr>
        <w:t>188</w:t>
      </w:r>
      <w:r w:rsidRPr="001A429E">
        <w:rPr>
          <w:rFonts w:ascii="Times New Roman" w:hAnsi="Times New Roman" w:cs="Times New Roman"/>
          <w:sz w:val="24"/>
          <w:szCs w:val="24"/>
          <w:u w:val="single"/>
        </w:rPr>
        <w:br/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«О проведении аукциона на право заключения договора аренды земельного участка» </w:t>
      </w:r>
    </w:p>
    <w:p w:rsidR="00652F7F" w:rsidRPr="00652F7F" w:rsidRDefault="00652F7F" w:rsidP="00652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0C344F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C13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Кожевниковский муниципальный район, </w:t>
      </w:r>
      <w:r w:rsidR="00C25F84">
        <w:rPr>
          <w:rFonts w:ascii="Times New Roman" w:hAnsi="Times New Roman" w:cs="Times New Roman"/>
          <w:sz w:val="24"/>
          <w:szCs w:val="24"/>
        </w:rPr>
        <w:t>Кожевниковское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C25F84">
        <w:rPr>
          <w:rFonts w:ascii="Times New Roman" w:hAnsi="Times New Roman" w:cs="Times New Roman"/>
          <w:sz w:val="24"/>
          <w:szCs w:val="24"/>
        </w:rPr>
        <w:t>Кожевниково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5F84">
        <w:rPr>
          <w:rFonts w:ascii="Times New Roman" w:hAnsi="Times New Roman" w:cs="Times New Roman"/>
          <w:sz w:val="24"/>
          <w:szCs w:val="24"/>
        </w:rPr>
        <w:t xml:space="preserve">ул. </w:t>
      </w:r>
      <w:r w:rsidR="00747A98">
        <w:rPr>
          <w:rFonts w:ascii="Times New Roman" w:hAnsi="Times New Roman" w:cs="Times New Roman"/>
          <w:sz w:val="24"/>
          <w:szCs w:val="24"/>
        </w:rPr>
        <w:t>Ленина, 58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70:07:010</w:t>
      </w:r>
      <w:r w:rsidR="00C25F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5F84">
        <w:rPr>
          <w:rFonts w:ascii="Times New Roman" w:hAnsi="Times New Roman" w:cs="Times New Roman"/>
          <w:sz w:val="24"/>
          <w:szCs w:val="24"/>
        </w:rPr>
        <w:t>0</w:t>
      </w:r>
      <w:r w:rsidR="00EE593C">
        <w:rPr>
          <w:rFonts w:ascii="Times New Roman" w:hAnsi="Times New Roman" w:cs="Times New Roman"/>
          <w:sz w:val="24"/>
          <w:szCs w:val="24"/>
        </w:rPr>
        <w:t>3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EE593C">
        <w:rPr>
          <w:rFonts w:ascii="Times New Roman" w:hAnsi="Times New Roman" w:cs="Times New Roman"/>
          <w:sz w:val="24"/>
          <w:szCs w:val="24"/>
        </w:rPr>
        <w:t>1763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EE593C">
        <w:rPr>
          <w:rFonts w:ascii="Times New Roman" w:hAnsi="Times New Roman" w:cs="Times New Roman"/>
          <w:sz w:val="24"/>
          <w:szCs w:val="24"/>
        </w:rPr>
        <w:t>103</w:t>
      </w:r>
      <w:r w:rsidR="00C131A9"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C13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747A98">
        <w:rPr>
          <w:rFonts w:ascii="Times New Roman" w:hAnsi="Times New Roman" w:cs="Times New Roman"/>
          <w:bCs/>
          <w:sz w:val="24"/>
          <w:szCs w:val="24"/>
        </w:rPr>
        <w:t>бытовое обслуживание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FE0">
        <w:rPr>
          <w:rFonts w:ascii="Times New Roman" w:hAnsi="Times New Roman" w:cs="Times New Roman"/>
          <w:bCs/>
          <w:sz w:val="24"/>
          <w:szCs w:val="24"/>
        </w:rPr>
        <w:t>нет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184EE8" w:rsidRPr="00E2093B" w:rsidRDefault="00652F7F" w:rsidP="00184E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="001A4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EE8" w:rsidRPr="00E2093B">
        <w:rPr>
          <w:rFonts w:ascii="Times New Roman" w:hAnsi="Times New Roman" w:cs="Times New Roman"/>
          <w:bCs/>
          <w:sz w:val="24"/>
          <w:szCs w:val="24"/>
        </w:rPr>
        <w:t>(</w:t>
      </w:r>
      <w:r w:rsidR="00184EE8">
        <w:rPr>
          <w:rFonts w:ascii="Times New Roman" w:hAnsi="Times New Roman" w:cs="Times New Roman"/>
          <w:bCs/>
          <w:sz w:val="24"/>
          <w:szCs w:val="24"/>
        </w:rPr>
        <w:t xml:space="preserve">годовая арендная плата) </w:t>
      </w:r>
      <w:r w:rsidR="00184EE8" w:rsidRPr="002B4C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D467D">
        <w:rPr>
          <w:rFonts w:ascii="Times New Roman" w:hAnsi="Times New Roman" w:cs="Times New Roman"/>
          <w:b/>
          <w:bCs/>
          <w:sz w:val="24"/>
          <w:szCs w:val="24"/>
        </w:rPr>
        <w:t>9118,59</w:t>
      </w:r>
      <w:r w:rsidR="00184EE8"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="00184EE8" w:rsidRPr="00E20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CDA" w:rsidRPr="002B4CDA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D467D">
        <w:rPr>
          <w:rFonts w:ascii="Times New Roman" w:hAnsi="Times New Roman" w:cs="Times New Roman"/>
          <w:b/>
          <w:bCs/>
          <w:sz w:val="24"/>
          <w:szCs w:val="24"/>
        </w:rPr>
        <w:t>1823,72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2B4CDA" w:rsidRPr="002B4CDA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6D467D">
        <w:rPr>
          <w:rFonts w:ascii="Times New Roman" w:hAnsi="Times New Roman" w:cs="Times New Roman"/>
          <w:b/>
          <w:bCs/>
          <w:sz w:val="24"/>
          <w:szCs w:val="24"/>
        </w:rPr>
        <w:t>273,56</w:t>
      </w:r>
      <w:r w:rsidRPr="002B4CDA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EE593C" w:rsidRDefault="00EE593C" w:rsidP="00EE59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Земельный участок расположен в зоне </w:t>
      </w:r>
      <w:r w:rsidR="00747A98">
        <w:rPr>
          <w:rFonts w:ascii="Times New Roman" w:hAnsi="Times New Roman" w:cs="Times New Roman"/>
          <w:bCs/>
          <w:sz w:val="24"/>
          <w:szCs w:val="24"/>
        </w:rPr>
        <w:t>жилой застройки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47A98">
        <w:rPr>
          <w:rFonts w:ascii="Times New Roman" w:hAnsi="Times New Roman" w:cs="Times New Roman"/>
          <w:bCs/>
          <w:sz w:val="24"/>
          <w:szCs w:val="24"/>
        </w:rPr>
        <w:t>Ж1, Ж2, Ж3</w:t>
      </w:r>
      <w:r>
        <w:rPr>
          <w:rFonts w:ascii="Times New Roman" w:hAnsi="Times New Roman" w:cs="Times New Roman"/>
          <w:bCs/>
          <w:sz w:val="24"/>
          <w:szCs w:val="24"/>
        </w:rPr>
        <w:t>). Параметры разрешенного строительства не подлежат установлению.</w:t>
      </w:r>
    </w:p>
    <w:p w:rsidR="00EE593C" w:rsidRDefault="00EE593C" w:rsidP="00EE59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747A98" w:rsidRDefault="00EE593C" w:rsidP="00EE593C">
      <w:pPr>
        <w:autoSpaceDE w:val="0"/>
        <w:autoSpaceDN w:val="0"/>
        <w:spacing w:after="0" w:line="240" w:lineRule="auto"/>
        <w:ind w:firstLine="360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- Водоснабжение: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 м</w:t>
      </w:r>
      <w:r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>/час, подключение к системе центрального водоснабжения выполнить трубой ПНД диаметром 25 мм, рабочее давление водопроводной сети 2,</w:t>
      </w:r>
      <w:r w:rsidR="00747A98">
        <w:rPr>
          <w:rStyle w:val="blk"/>
          <w:rFonts w:ascii="Times New Roman" w:hAnsi="Times New Roman" w:cs="Times New Roman"/>
          <w:bCs/>
          <w:sz w:val="24"/>
          <w:szCs w:val="24"/>
        </w:rPr>
        <w:t>2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кг/см</w:t>
      </w:r>
      <w:r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, центральный водопровод в точке подключения выполнен трубой ПЭ диаметр </w:t>
      </w:r>
      <w:r w:rsidR="00747A98">
        <w:rPr>
          <w:rStyle w:val="blk"/>
          <w:rFonts w:ascii="Times New Roman" w:hAnsi="Times New Roman" w:cs="Times New Roman"/>
          <w:bCs/>
          <w:sz w:val="24"/>
          <w:szCs w:val="24"/>
        </w:rPr>
        <w:t>110 мм, с обязательным монтажом смотрового колодца в точке подключения. Диаметр не менее 1,5 м., крышка колодца не ниже 50 см. от уровня земли.</w:t>
      </w:r>
    </w:p>
    <w:p w:rsidR="00EE593C" w:rsidRDefault="00EE593C" w:rsidP="00EE593C">
      <w:pPr>
        <w:autoSpaceDE w:val="0"/>
        <w:autoSpaceDN w:val="0"/>
        <w:spacing w:after="0" w:line="240" w:lineRule="auto"/>
        <w:ind w:firstLine="360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 воды и предоставить копии документов в общество с ограниченной ответственностью «Кожевниковский водоканал».</w:t>
      </w:r>
    </w:p>
    <w:p w:rsidR="00EE593C" w:rsidRDefault="00EE593C" w:rsidP="00EE593C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360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Водоотведение: </w:t>
      </w:r>
      <w:r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p w:rsidR="00EE593C" w:rsidRDefault="00EE593C" w:rsidP="00EE593C">
      <w:pPr>
        <w:pStyle w:val="a3"/>
        <w:numPr>
          <w:ilvl w:val="0"/>
          <w:numId w:val="24"/>
        </w:numPr>
        <w:spacing w:after="0" w:line="254" w:lineRule="auto"/>
        <w:ind w:left="0" w:firstLine="36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>Газоснабжение: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при условии строительства газопровода высокого давления до границы  земельного участка с установкой пункта редуцирования газа. Ближайшая сеть газораспределения ООО «Газпром газораспределение Томск» располож</w:t>
      </w:r>
      <w:r w:rsidR="00747A98">
        <w:rPr>
          <w:rStyle w:val="blk"/>
          <w:rFonts w:ascii="Times New Roman" w:hAnsi="Times New Roman" w:cs="Times New Roman"/>
          <w:sz w:val="24"/>
          <w:szCs w:val="24"/>
        </w:rPr>
        <w:t xml:space="preserve">ена на удалении ориентировочно </w:t>
      </w:r>
      <w:r>
        <w:rPr>
          <w:rStyle w:val="blk"/>
          <w:rFonts w:ascii="Times New Roman" w:hAnsi="Times New Roman" w:cs="Times New Roman"/>
          <w:sz w:val="24"/>
          <w:szCs w:val="24"/>
        </w:rPr>
        <w:t>50,0 м от границ вышеуказанного земельного участка по прямой линии.</w:t>
      </w:r>
    </w:p>
    <w:p w:rsidR="00EE593C" w:rsidRDefault="00EE593C" w:rsidP="00EE593C">
      <w:pPr>
        <w:pStyle w:val="a3"/>
        <w:numPr>
          <w:ilvl w:val="0"/>
          <w:numId w:val="24"/>
        </w:numPr>
        <w:spacing w:after="0" w:line="254" w:lineRule="auto"/>
        <w:ind w:left="0" w:firstLine="36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Электроснабжение</w:t>
      </w:r>
      <w:r>
        <w:rPr>
          <w:rStyle w:val="blk"/>
          <w:rFonts w:ascii="Times New Roman" w:hAnsi="Times New Roman" w:cs="Times New Roman"/>
          <w:sz w:val="24"/>
          <w:szCs w:val="24"/>
        </w:rPr>
        <w:t>: подключение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p w:rsidR="00652F7F" w:rsidRPr="00C45F64" w:rsidRDefault="00652F7F" w:rsidP="001A429E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C45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</w:t>
      </w:r>
      <w:r w:rsidR="001C2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5</w:t>
      </w:r>
      <w:r w:rsidRPr="00AD373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</w:t>
      </w:r>
      <w:r w:rsidR="001C20D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пять</w:t>
      </w:r>
      <w:r w:rsidRPr="00AD373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  <w:r w:rsidRPr="00C45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лет с даты подписания договора аренды земельного участка.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Ж1,Ж2,Ж3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Зона </w:t>
      </w:r>
      <w:r w:rsidR="003C33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застройки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Параметры разрешенного строительства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устанавливаются в соответствии с правилами землепользования и застройки 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г.Москва, наб.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AD4D53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6D4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12.05</w:t>
      </w:r>
      <w:r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760F84"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 w:rsidR="00521CB7"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BC498C"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Pr="00AD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на участие в аукционе: электронная площадка </w:t>
      </w:r>
      <w:hyperlink r:id="rId5" w:history="1">
        <w:r w:rsidR="00FC4262" w:rsidRPr="00A34AA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заявителем вносится задаток. Реквизиты для перечисления </w:t>
      </w:r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задатка: Получатель платежа: ООО «РТС-тендер», банк: Филиал «Корпоративный» ПАО «Совкомбанк», БИК 044525360, р/с 40702810512030016362, к/с 30101810445250000360, ИНН 7710357167, КПП 773001001, Назначение</w:t>
      </w: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6D46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6F51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6D46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21CB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внесение задатка. 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65192F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7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4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D4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7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6F51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6D46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760F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519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192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4733A" w:rsidRPr="00C473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6F51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bookmarkStart w:id="0" w:name="_GoBack"/>
      <w:bookmarkEnd w:id="0"/>
      <w:r w:rsidR="007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5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2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C2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65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</w:t>
      </w:r>
      <w:r w:rsidR="0052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AD4D53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 аренды</w:t>
      </w:r>
      <w:r w:rsidR="003D291A"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земельного участка заключается с победителем торгов или единственным участником аукциона не ранее чем через </w:t>
      </w:r>
      <w:r w:rsidR="00AD4D53"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>пять</w:t>
      </w:r>
      <w:r w:rsidRPr="00AD4D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 со дня размещения информации о результатах аукциона на официальном сайте Российской Федерации в сети Интернет.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6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</w:t>
      </w:r>
      <w:r w:rsidR="001C20DB">
        <w:rPr>
          <w:rFonts w:ascii="Times New Roman" w:eastAsia="MS Mincho" w:hAnsi="Times New Roman" w:cs="Times New Roman"/>
          <w:sz w:val="24"/>
          <w:szCs w:val="24"/>
          <w:lang w:eastAsia="ja-JP"/>
        </w:rPr>
        <w:t>десяти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B979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kogadm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7999" w:rsidRPr="00B9799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1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6D1FC0" w:rsidRDefault="00542627" w:rsidP="001C2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4C58">
        <w:rPr>
          <w:rFonts w:ascii="Times New Roman" w:eastAsia="Times New Roman" w:hAnsi="Times New Roman" w:cs="Times New Roman"/>
          <w:sz w:val="24"/>
          <w:szCs w:val="24"/>
          <w:lang w:eastAsia="ru-RU"/>
        </w:rPr>
        <w:t>2768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D1FC0" w:rsidSect="00EC2D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157"/>
    <w:multiLevelType w:val="multilevel"/>
    <w:tmpl w:val="069AAC2A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A645668"/>
    <w:multiLevelType w:val="multilevel"/>
    <w:tmpl w:val="6F3A786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E17AC"/>
    <w:multiLevelType w:val="multilevel"/>
    <w:tmpl w:val="157C73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67E2"/>
    <w:multiLevelType w:val="multilevel"/>
    <w:tmpl w:val="AD261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72F8A"/>
    <w:multiLevelType w:val="multilevel"/>
    <w:tmpl w:val="57CE0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60225"/>
    <w:multiLevelType w:val="hybridMultilevel"/>
    <w:tmpl w:val="D166C07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0"/>
  </w:num>
  <w:num w:numId="18">
    <w:abstractNumId w:val="8"/>
  </w:num>
  <w:num w:numId="19">
    <w:abstractNumId w:val="6"/>
  </w:num>
  <w:num w:numId="20">
    <w:abstractNumId w:val="15"/>
  </w:num>
  <w:num w:numId="21">
    <w:abstractNumId w:val="16"/>
  </w:num>
  <w:num w:numId="22">
    <w:abstractNumId w:val="3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2627"/>
    <w:rsid w:val="00053920"/>
    <w:rsid w:val="000865B0"/>
    <w:rsid w:val="000F0D9A"/>
    <w:rsid w:val="0010509B"/>
    <w:rsid w:val="00167955"/>
    <w:rsid w:val="00172872"/>
    <w:rsid w:val="00184EE8"/>
    <w:rsid w:val="001A429E"/>
    <w:rsid w:val="001B304C"/>
    <w:rsid w:val="001B4D28"/>
    <w:rsid w:val="001C20DB"/>
    <w:rsid w:val="001C7F11"/>
    <w:rsid w:val="00214C58"/>
    <w:rsid w:val="002813C4"/>
    <w:rsid w:val="002877C0"/>
    <w:rsid w:val="002A3805"/>
    <w:rsid w:val="002B4CDA"/>
    <w:rsid w:val="003024B1"/>
    <w:rsid w:val="003156D5"/>
    <w:rsid w:val="00332817"/>
    <w:rsid w:val="003414E3"/>
    <w:rsid w:val="0038454C"/>
    <w:rsid w:val="003A012B"/>
    <w:rsid w:val="003C33E8"/>
    <w:rsid w:val="003D291A"/>
    <w:rsid w:val="00437128"/>
    <w:rsid w:val="00451CFA"/>
    <w:rsid w:val="00521CB7"/>
    <w:rsid w:val="00542627"/>
    <w:rsid w:val="00572AA8"/>
    <w:rsid w:val="005C4FE0"/>
    <w:rsid w:val="006360B6"/>
    <w:rsid w:val="0065192F"/>
    <w:rsid w:val="00652F7F"/>
    <w:rsid w:val="0068304C"/>
    <w:rsid w:val="006D1FC0"/>
    <w:rsid w:val="006D467D"/>
    <w:rsid w:val="006F51E9"/>
    <w:rsid w:val="00723ADE"/>
    <w:rsid w:val="00747A98"/>
    <w:rsid w:val="00760F84"/>
    <w:rsid w:val="007F1193"/>
    <w:rsid w:val="0084275F"/>
    <w:rsid w:val="00880CE0"/>
    <w:rsid w:val="008A08AF"/>
    <w:rsid w:val="008B7096"/>
    <w:rsid w:val="008D1716"/>
    <w:rsid w:val="008D5E0E"/>
    <w:rsid w:val="008E4785"/>
    <w:rsid w:val="008F13DF"/>
    <w:rsid w:val="00920C33"/>
    <w:rsid w:val="00921DAC"/>
    <w:rsid w:val="009610F2"/>
    <w:rsid w:val="00974446"/>
    <w:rsid w:val="009975CA"/>
    <w:rsid w:val="009C4550"/>
    <w:rsid w:val="009E5F16"/>
    <w:rsid w:val="00A70330"/>
    <w:rsid w:val="00AD3734"/>
    <w:rsid w:val="00AD4D53"/>
    <w:rsid w:val="00AD5808"/>
    <w:rsid w:val="00AE73D3"/>
    <w:rsid w:val="00AF0079"/>
    <w:rsid w:val="00B102EB"/>
    <w:rsid w:val="00B97999"/>
    <w:rsid w:val="00BC498C"/>
    <w:rsid w:val="00BF5FFA"/>
    <w:rsid w:val="00BF695B"/>
    <w:rsid w:val="00C131A9"/>
    <w:rsid w:val="00C25F84"/>
    <w:rsid w:val="00C34E05"/>
    <w:rsid w:val="00C421C7"/>
    <w:rsid w:val="00C45F64"/>
    <w:rsid w:val="00C4733A"/>
    <w:rsid w:val="00C61317"/>
    <w:rsid w:val="00C624F9"/>
    <w:rsid w:val="00C76891"/>
    <w:rsid w:val="00CD59FE"/>
    <w:rsid w:val="00D17343"/>
    <w:rsid w:val="00DB51E0"/>
    <w:rsid w:val="00E26559"/>
    <w:rsid w:val="00E74430"/>
    <w:rsid w:val="00EC2DA1"/>
    <w:rsid w:val="00EE593C"/>
    <w:rsid w:val="00F20802"/>
    <w:rsid w:val="00F77927"/>
    <w:rsid w:val="00FA133F"/>
    <w:rsid w:val="00FC4262"/>
    <w:rsid w:val="00FE3991"/>
    <w:rsid w:val="00FF5E42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C40"/>
  <w15:docId w15:val="{4607150F-F9CA-4BC5-A457-79EC69E4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55"/>
  </w:style>
  <w:style w:type="paragraph" w:styleId="1">
    <w:name w:val="heading 1"/>
    <w:basedOn w:val="a"/>
    <w:next w:val="a"/>
    <w:link w:val="10"/>
    <w:qFormat/>
    <w:rsid w:val="00FA133F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51E0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D1F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1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A133F"/>
    <w:pPr>
      <w:spacing w:after="120" w:line="25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FA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s://kogadm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AF5D98D0897AEAC09A32A813F051715AC0DA7CC9DB91CEE081D32BA74F48057DC39A87A8AF89C21376536E0A7E9B1309C6FA0396DDE36vF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2024-10-03T02:34:00Z</cp:lastPrinted>
  <dcterms:created xsi:type="dcterms:W3CDTF">2025-03-24T02:00:00Z</dcterms:created>
  <dcterms:modified xsi:type="dcterms:W3CDTF">2025-04-21T02:12:00Z</dcterms:modified>
</cp:coreProperties>
</file>