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27.02.2020 N 208</w:t>
              <w:br/>
              <w:t xml:space="preserve">(ред. от 02.03.2023)</w:t>
              <w:br/>
              <w:t xml:space="preserve">"Об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февраля 2020 г. N 208</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"ПЛАНИРОВАНИЕ ПРОВЕРОК, РЕВИЗИЙ И ОБСЛЕДОВАНИЙ"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8"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09.12.2022 </w:t>
            </w:r>
            <w:hyperlink w:history="0" r:id="rId10"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p>
            <w:pPr>
              <w:pStyle w:val="0"/>
              <w:jc w:val="center"/>
            </w:pPr>
            <w:r>
              <w:rPr>
                <w:sz w:val="20"/>
                <w:color w:val="392c69"/>
              </w:rPr>
              <w:t xml:space="preserve">от 02.03.2023 </w:t>
            </w:r>
            <w:hyperlink w:history="0" r:id="rId11"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3 статьи 269.2</w:t>
        </w:r>
      </w:hyperlink>
      <w:r>
        <w:rPr>
          <w:sz w:val="20"/>
        </w:rPr>
        <w:t xml:space="preserve"> Бюджетного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федеральный </w:t>
      </w:r>
      <w:hyperlink w:history="0" w:anchor="P33" w:tooltip="ФЕДЕРАЛЬНЫЙ СТАНДАРТ">
        <w:r>
          <w:rPr>
            <w:sz w:val="20"/>
            <w:color w:val="0000ff"/>
          </w:rPr>
          <w:t xml:space="preserve">стандарт</w:t>
        </w:r>
      </w:hyperlink>
      <w:r>
        <w:rPr>
          <w:sz w:val="20"/>
        </w:rPr>
        <w:t xml:space="preserve"> внутреннего государственного (муниципального) финансового контроля "Планирование проверок, ревизий и обследований".</w:t>
      </w:r>
    </w:p>
    <w:p>
      <w:pPr>
        <w:pStyle w:val="0"/>
        <w:spacing w:before="200" w:line-rule="auto"/>
        <w:ind w:firstLine="540"/>
        <w:jc w:val="both"/>
      </w:pPr>
      <w:r>
        <w:rPr>
          <w:sz w:val="20"/>
        </w:rPr>
        <w:t xml:space="preserve">2. Настоящее постановление вступает в силу с 1 июля 2020 г.</w:t>
      </w:r>
    </w:p>
    <w:p>
      <w:pPr>
        <w:pStyle w:val="0"/>
        <w:spacing w:before="200" w:line-rule="auto"/>
        <w:ind w:firstLine="540"/>
        <w:jc w:val="both"/>
      </w:pPr>
      <w:r>
        <w:rPr>
          <w:sz w:val="20"/>
        </w:rPr>
        <w:t xml:space="preserve">3. 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действовавшими по состоянию на 1 июля 2020 г.</w:t>
      </w:r>
    </w:p>
    <w:p>
      <w:pPr>
        <w:pStyle w:val="0"/>
        <w:jc w:val="both"/>
      </w:pPr>
      <w:r>
        <w:rPr>
          <w:sz w:val="20"/>
        </w:rPr>
        <w:t xml:space="preserve">(п. 3 введен </w:t>
      </w:r>
      <w:hyperlink w:history="0" r:id="rId13"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февраля 2020 г. N 208</w:t>
      </w:r>
    </w:p>
    <w:p>
      <w:pPr>
        <w:pStyle w:val="0"/>
        <w:jc w:val="both"/>
      </w:pPr>
      <w:r>
        <w:rPr>
          <w:sz w:val="20"/>
        </w:rPr>
      </w:r>
    </w:p>
    <w:bookmarkStart w:id="33" w:name="P33"/>
    <w:bookmarkEnd w:id="33"/>
    <w:p>
      <w:pPr>
        <w:pStyle w:val="2"/>
        <w:jc w:val="center"/>
      </w:pPr>
      <w:r>
        <w:rPr>
          <w:sz w:val="20"/>
        </w:rPr>
        <w:t xml:space="preserve">ФЕДЕРАЛЬНЫЙ СТАНДАРТ</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"ПЛАНИРОВАНИЕ ПРОВЕРОК, РЕВИЗИЙ И ОБСЛЕДОВАНИЙ"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4"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15"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16"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09.12.2022 </w:t>
            </w:r>
            <w:hyperlink w:history="0" r:id="rId17"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p>
            <w:pPr>
              <w:pStyle w:val="0"/>
              <w:jc w:val="center"/>
            </w:pPr>
            <w:r>
              <w:rPr>
                <w:sz w:val="20"/>
                <w:color w:val="392c69"/>
              </w:rPr>
              <w:t xml:space="preserve">от 02.03.2023 </w:t>
            </w:r>
            <w:hyperlink w:history="0" r:id="rId18"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
    <w:p>
      <w:pPr>
        <w:pStyle w:val="0"/>
        <w:spacing w:before="200" w:line-rule="auto"/>
        <w:ind w:firstLine="540"/>
        <w:jc w:val="both"/>
      </w:pPr>
      <w:r>
        <w:rPr>
          <w:sz w:val="20"/>
        </w:rPr>
        <w:t xml:space="preserve">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pPr>
        <w:pStyle w:val="0"/>
        <w:spacing w:before="200" w:line-rule="auto"/>
        <w:ind w:firstLine="540"/>
        <w:jc w:val="both"/>
      </w:pPr>
      <w:r>
        <w:rPr>
          <w:sz w:val="20"/>
        </w:rPr>
        <w:t xml:space="preserve">темы контрольных мероприятий;</w:t>
      </w:r>
    </w:p>
    <w:p>
      <w:pPr>
        <w:pStyle w:val="0"/>
        <w:spacing w:before="200" w:line-rule="auto"/>
        <w:ind w:firstLine="540"/>
        <w:jc w:val="both"/>
      </w:pPr>
      <w:r>
        <w:rPr>
          <w:sz w:val="20"/>
        </w:rPr>
        <w:t xml:space="preserve">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pPr>
        <w:pStyle w:val="0"/>
        <w:spacing w:before="200" w:line-rule="auto"/>
        <w:ind w:firstLine="540"/>
        <w:jc w:val="both"/>
      </w:pPr>
      <w:r>
        <w:rPr>
          <w:sz w:val="20"/>
        </w:rPr>
        <w:t xml:space="preserve">проверяемый период;</w:t>
      </w:r>
    </w:p>
    <w:p>
      <w:pPr>
        <w:pStyle w:val="0"/>
        <w:spacing w:before="200" w:line-rule="auto"/>
        <w:ind w:firstLine="540"/>
        <w:jc w:val="both"/>
      </w:pPr>
      <w:r>
        <w:rPr>
          <w:sz w:val="20"/>
        </w:rPr>
        <w:t xml:space="preserve">период (дата) начала проведения контрольных мероприятий.</w:t>
      </w:r>
    </w:p>
    <w:p>
      <w:pPr>
        <w:pStyle w:val="0"/>
        <w:spacing w:before="200" w:line-rule="auto"/>
        <w:ind w:firstLine="540"/>
        <w:jc w:val="both"/>
      </w:pPr>
      <w:r>
        <w:rPr>
          <w:sz w:val="20"/>
        </w:rPr>
        <w:t xml:space="preserve">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pPr>
        <w:pStyle w:val="0"/>
        <w:spacing w:before="200" w:line-rule="auto"/>
        <w:ind w:firstLine="540"/>
        <w:jc w:val="both"/>
      </w:pPr>
      <w:r>
        <w:rPr>
          <w:sz w:val="20"/>
        </w:rPr>
        <w:t xml:space="preserve">Орган контроля вправе утвердить форму плана контрольных мероприятий.</w:t>
      </w:r>
    </w:p>
    <w:p>
      <w:pPr>
        <w:pStyle w:val="0"/>
        <w:spacing w:before="200" w:line-rule="auto"/>
        <w:ind w:firstLine="540"/>
        <w:jc w:val="both"/>
      </w:pPr>
      <w:r>
        <w:rPr>
          <w:sz w:val="20"/>
        </w:rPr>
        <w:t xml:space="preserve">3. 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history="0" w:anchor="P85" w:tooltip="11. При определении значения критерия &quot;вероятность&quot; и значения критерия &quot;существенность&quot; используется шкала оценок - &quot;низкая оценка&quot;, &quot;средняя оценка&quot; или &quot;высокая оценка&quot;. На основании анализа рисков - сочетания критерия &quot;вероятность&quot; и критерия &quot;существенность&quot; и определения их значения по шкале оценок каждому предмету контроля и объекту контроля присваивается одна из следующих категорий риска:">
        <w:r>
          <w:rPr>
            <w:sz w:val="20"/>
            <w:color w:val="0000ff"/>
          </w:rPr>
          <w:t xml:space="preserve">пунктом 11</w:t>
        </w:r>
      </w:hyperlink>
      <w:r>
        <w:rPr>
          <w:sz w:val="20"/>
        </w:rPr>
        <w:t xml:space="preserve"> стандарта категориям риска.</w:t>
      </w:r>
    </w:p>
    <w:p>
      <w:pPr>
        <w:pStyle w:val="0"/>
        <w:spacing w:before="200" w:line-rule="auto"/>
        <w:ind w:firstLine="540"/>
        <w:jc w:val="both"/>
      </w:pPr>
      <w:r>
        <w:rPr>
          <w:sz w:val="20"/>
        </w:rPr>
        <w:t xml:space="preserve">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pPr>
        <w:pStyle w:val="0"/>
        <w:jc w:val="both"/>
      </w:pPr>
      <w:r>
        <w:rPr>
          <w:sz w:val="20"/>
        </w:rPr>
      </w:r>
    </w:p>
    <w:p>
      <w:pPr>
        <w:pStyle w:val="2"/>
        <w:outlineLvl w:val="1"/>
        <w:jc w:val="center"/>
      </w:pPr>
      <w:r>
        <w:rPr>
          <w:sz w:val="20"/>
        </w:rPr>
        <w:t xml:space="preserve">II. Планирование контрольных мероприятий</w:t>
      </w:r>
    </w:p>
    <w:p>
      <w:pPr>
        <w:pStyle w:val="0"/>
        <w:jc w:val="both"/>
      </w:pPr>
      <w:r>
        <w:rPr>
          <w:sz w:val="20"/>
        </w:rPr>
      </w:r>
    </w:p>
    <w:p>
      <w:pPr>
        <w:pStyle w:val="0"/>
        <w:ind w:firstLine="540"/>
        <w:jc w:val="both"/>
      </w:pPr>
      <w:r>
        <w:rPr>
          <w:sz w:val="20"/>
        </w:rPr>
        <w:t xml:space="preserve">5. Планирование контрольных мероприятий включает следующие этапы:</w:t>
      </w:r>
    </w:p>
    <w:p>
      <w:pPr>
        <w:pStyle w:val="0"/>
        <w:spacing w:before="200" w:line-rule="auto"/>
        <w:ind w:firstLine="540"/>
        <w:jc w:val="both"/>
      </w:pPr>
      <w:r>
        <w:rPr>
          <w:sz w:val="20"/>
        </w:rPr>
        <w:t xml:space="preserve">а) формирование исходных данных для составления проекта плана контрольных мероприятий;</w:t>
      </w:r>
    </w:p>
    <w:p>
      <w:pPr>
        <w:pStyle w:val="0"/>
        <w:spacing w:before="200" w:line-rule="auto"/>
        <w:ind w:firstLine="540"/>
        <w:jc w:val="both"/>
      </w:pPr>
      <w:r>
        <w:rPr>
          <w:sz w:val="20"/>
        </w:rPr>
        <w:t xml:space="preserve">б) составление проекта плана контрольных мероприятий;</w:t>
      </w:r>
    </w:p>
    <w:p>
      <w:pPr>
        <w:pStyle w:val="0"/>
        <w:spacing w:before="200" w:line-rule="auto"/>
        <w:ind w:firstLine="540"/>
        <w:jc w:val="both"/>
      </w:pPr>
      <w:r>
        <w:rPr>
          <w:sz w:val="20"/>
        </w:rPr>
        <w:t xml:space="preserve">в) утверждение плана контрольных мероприятий.</w:t>
      </w:r>
    </w:p>
    <w:p>
      <w:pPr>
        <w:pStyle w:val="0"/>
        <w:spacing w:before="200" w:line-rule="auto"/>
        <w:ind w:firstLine="540"/>
        <w:jc w:val="both"/>
      </w:pPr>
      <w:r>
        <w:rPr>
          <w:sz w:val="20"/>
        </w:rPr>
        <w:t xml:space="preserve">6. Формирование исходных данных для составления проекта плана контрольных мероприятий включает:</w:t>
      </w:r>
    </w:p>
    <w:p>
      <w:pPr>
        <w:pStyle w:val="0"/>
        <w:spacing w:before="200" w:line-rule="auto"/>
        <w:ind w:firstLine="540"/>
        <w:jc w:val="both"/>
      </w:pPr>
      <w:r>
        <w:rPr>
          <w:sz w:val="20"/>
        </w:rPr>
        <w:t xml:space="preserve">а) сбор и анализ информации об объектах контроля;</w:t>
      </w:r>
    </w:p>
    <w:p>
      <w:pPr>
        <w:pStyle w:val="0"/>
        <w:spacing w:before="200" w:line-rule="auto"/>
        <w:ind w:firstLine="540"/>
        <w:jc w:val="both"/>
      </w:pPr>
      <w:r>
        <w:rPr>
          <w:sz w:val="20"/>
        </w:rPr>
        <w:t xml:space="preserve">б) определение объектов контроля и тем контрольных мероприятий, включаемых в проект плана контрольных мероприятий;</w:t>
      </w:r>
    </w:p>
    <w:p>
      <w:pPr>
        <w:pStyle w:val="0"/>
        <w:spacing w:before="200" w:line-rule="auto"/>
        <w:ind w:firstLine="540"/>
        <w:jc w:val="both"/>
      </w:pPr>
      <w:r>
        <w:rPr>
          <w:sz w:val="20"/>
        </w:rPr>
        <w:t xml:space="preserve">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pPr>
        <w:pStyle w:val="0"/>
        <w:spacing w:before="200" w:line-rule="auto"/>
        <w:ind w:firstLine="540"/>
        <w:jc w:val="both"/>
      </w:pPr>
      <w:r>
        <w:rPr>
          <w:sz w:val="20"/>
        </w:rP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pPr>
        <w:pStyle w:val="0"/>
        <w:spacing w:before="200" w:line-rule="auto"/>
        <w:ind w:firstLine="540"/>
        <w:jc w:val="both"/>
      </w:pPr>
      <w:r>
        <w:rPr>
          <w:sz w:val="20"/>
        </w:rPr>
        <w:t xml:space="preserve">8.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pPr>
        <w:pStyle w:val="0"/>
        <w:spacing w:before="200" w:line-rule="auto"/>
        <w:ind w:firstLine="540"/>
        <w:jc w:val="both"/>
      </w:pPr>
      <w:r>
        <w:rPr>
          <w:sz w:val="20"/>
        </w:rPr>
        <w:t xml:space="preserve">9. При определении значения критерия "вероятность" используется следующая информация:</w:t>
      </w:r>
    </w:p>
    <w:p>
      <w:pPr>
        <w:pStyle w:val="0"/>
        <w:spacing w:before="200" w:line-rule="auto"/>
        <w:ind w:firstLine="540"/>
        <w:jc w:val="both"/>
      </w:pPr>
      <w:r>
        <w:rPr>
          <w:sz w:val="20"/>
        </w:rPr>
        <w:t xml:space="preserve">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w:t>
      </w:r>
      <w:hyperlink w:history="0" r:id="rId1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статьи 160.2-1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pPr>
        <w:pStyle w:val="0"/>
        <w:spacing w:before="200" w:line-rule="auto"/>
        <w:ind w:firstLine="540"/>
        <w:jc w:val="both"/>
      </w:pPr>
      <w:r>
        <w:rPr>
          <w:sz w:val="20"/>
        </w:rPr>
        <w:t xml:space="preserve">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pPr>
        <w:pStyle w:val="0"/>
        <w:spacing w:before="200" w:line-rule="auto"/>
        <w:ind w:firstLine="540"/>
        <w:jc w:val="both"/>
      </w:pPr>
      <w:r>
        <w:rPr>
          <w:sz w:val="20"/>
        </w:rPr>
        <w:t xml:space="preserve">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pPr>
        <w:pStyle w:val="0"/>
        <w:spacing w:before="200" w:line-rule="auto"/>
        <w:ind w:firstLine="540"/>
        <w:jc w:val="both"/>
      </w:pPr>
      <w:r>
        <w:rPr>
          <w:sz w:val="20"/>
        </w:rPr>
        <w:t xml:space="preserve">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pPr>
        <w:pStyle w:val="0"/>
        <w:jc w:val="both"/>
      </w:pPr>
      <w:r>
        <w:rPr>
          <w:sz w:val="20"/>
        </w:rPr>
        <w:t xml:space="preserve">(в ред. </w:t>
      </w:r>
      <w:hyperlink w:history="0" r:id="rId20"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е) наличие (отсутствие) в отношении объекта контроля обращений (жалоб) граждан, объединений граждан, юридических лиц, поступивших в органы контроля;</w:t>
      </w:r>
    </w:p>
    <w:p>
      <w:pPr>
        <w:pStyle w:val="0"/>
        <w:spacing w:before="200" w:line-rule="auto"/>
        <w:ind w:firstLine="540"/>
        <w:jc w:val="both"/>
      </w:pPr>
      <w:r>
        <w:rPr>
          <w:sz w:val="20"/>
        </w:rPr>
        <w:t xml:space="preserve">ж) иная информация, необходимая при определении значения критерия "вероятность", установленная ведомственным стандартом органа контроля.</w:t>
      </w:r>
    </w:p>
    <w:p>
      <w:pPr>
        <w:pStyle w:val="0"/>
        <w:spacing w:before="200" w:line-rule="auto"/>
        <w:ind w:firstLine="540"/>
        <w:jc w:val="both"/>
      </w:pPr>
      <w:r>
        <w:rPr>
          <w:sz w:val="20"/>
        </w:rPr>
        <w:t xml:space="preserve">10. При определении значения критерия "существенность" используется следующая информация:</w:t>
      </w:r>
    </w:p>
    <w:p>
      <w:pPr>
        <w:pStyle w:val="0"/>
        <w:spacing w:before="200" w:line-rule="auto"/>
        <w:ind w:firstLine="540"/>
        <w:jc w:val="both"/>
      </w:pPr>
      <w:r>
        <w:rPr>
          <w:sz w:val="20"/>
        </w:rPr>
        <w:t xml:space="preserve">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pPr>
        <w:pStyle w:val="0"/>
        <w:spacing w:before="200" w:line-rule="auto"/>
        <w:ind w:firstLine="540"/>
        <w:jc w:val="both"/>
      </w:pPr>
      <w:r>
        <w:rPr>
          <w:sz w:val="20"/>
        </w:rPr>
        <w:t xml:space="preserve">б) значимость мероприятий (мер государственной (муниципальной) поддержки), в отношении которых возможно проведение контрольного мероприятия;</w:t>
      </w:r>
    </w:p>
    <w:p>
      <w:pPr>
        <w:pStyle w:val="0"/>
        <w:spacing w:before="200" w:line-rule="auto"/>
        <w:ind w:firstLine="540"/>
        <w:jc w:val="both"/>
      </w:pPr>
      <w:r>
        <w:rPr>
          <w:sz w:val="20"/>
        </w:rPr>
        <w:t xml:space="preserve">в) величина объема принятых обязательств объекта контроля и (или) его соотношения к объему финансового обеспечения деятельности объекта контроля;</w:t>
      </w:r>
    </w:p>
    <w:p>
      <w:pPr>
        <w:pStyle w:val="0"/>
        <w:spacing w:before="200" w:line-rule="auto"/>
        <w:ind w:firstLine="540"/>
        <w:jc w:val="both"/>
      </w:pPr>
      <w:r>
        <w:rPr>
          <w:sz w:val="20"/>
        </w:rPr>
        <w:t xml:space="preserve">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pPr>
        <w:pStyle w:val="0"/>
        <w:spacing w:before="200" w:line-rule="auto"/>
        <w:ind w:firstLine="540"/>
        <w:jc w:val="both"/>
      </w:pPr>
      <w:r>
        <w:rPr>
          <w:sz w:val="20"/>
        </w:rP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w:history="0" r:id="rId2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пунктов 2</w:t>
        </w:r>
      </w:hyperlink>
      <w:r>
        <w:rPr>
          <w:sz w:val="20"/>
        </w:rPr>
        <w:t xml:space="preserve"> и </w:t>
      </w:r>
      <w:hyperlink w:history="0" r:id="rId2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9 части 1 статьи 93</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наличие условия об исполнении контракта по этапам;</w:t>
      </w:r>
    </w:p>
    <w:p>
      <w:pPr>
        <w:pStyle w:val="0"/>
        <w:spacing w:before="200" w:line-rule="auto"/>
        <w:ind w:firstLine="540"/>
        <w:jc w:val="both"/>
      </w:pPr>
      <w:r>
        <w:rPr>
          <w:sz w:val="20"/>
        </w:rPr>
        <w:t xml:space="preserve">наличие условия о выплате аванса;</w:t>
      </w:r>
    </w:p>
    <w:p>
      <w:pPr>
        <w:pStyle w:val="0"/>
        <w:spacing w:before="200" w:line-rule="auto"/>
        <w:ind w:firstLine="540"/>
        <w:jc w:val="both"/>
      </w:pPr>
      <w:r>
        <w:rPr>
          <w:sz w:val="20"/>
        </w:rPr>
        <w:t xml:space="preserve">заключение контракта по результатам повторной закупки при условии расторжения первоначального контракта по соглашению сторон;</w:t>
      </w:r>
    </w:p>
    <w:p>
      <w:pPr>
        <w:pStyle w:val="0"/>
        <w:spacing w:before="200" w:line-rule="auto"/>
        <w:ind w:firstLine="540"/>
        <w:jc w:val="both"/>
      </w:pPr>
      <w:r>
        <w:rPr>
          <w:sz w:val="20"/>
        </w:rPr>
        <w:t xml:space="preserve">д) иная информация, необходимая при определении значения критерия "существенность", установленная ведомственным стандартом органа контроля.</w:t>
      </w:r>
    </w:p>
    <w:bookmarkStart w:id="85" w:name="P85"/>
    <w:bookmarkEnd w:id="85"/>
    <w:p>
      <w:pPr>
        <w:pStyle w:val="0"/>
        <w:spacing w:before="200" w:line-rule="auto"/>
        <w:ind w:firstLine="540"/>
        <w:jc w:val="both"/>
      </w:pPr>
      <w:r>
        <w:rPr>
          <w:sz w:val="20"/>
        </w:rPr>
        <w:t xml:space="preserve">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pPr>
        <w:pStyle w:val="0"/>
        <w:spacing w:before="200" w:line-rule="auto"/>
        <w:ind w:firstLine="540"/>
        <w:jc w:val="both"/>
      </w:pPr>
      <w:r>
        <w:rPr>
          <w:sz w:val="20"/>
        </w:rPr>
        <w:t xml:space="preserve">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pPr>
        <w:pStyle w:val="0"/>
        <w:spacing w:before="200" w:line-rule="auto"/>
        <w:ind w:firstLine="540"/>
        <w:jc w:val="both"/>
      </w:pPr>
      <w:r>
        <w:rPr>
          <w:sz w:val="20"/>
        </w:rPr>
        <w:t xml:space="preserve">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pPr>
        <w:pStyle w:val="0"/>
        <w:spacing w:before="200" w:line-rule="auto"/>
        <w:ind w:firstLine="540"/>
        <w:jc w:val="both"/>
      </w:pPr>
      <w:r>
        <w:rPr>
          <w:sz w:val="20"/>
        </w:rPr>
        <w:t xml:space="preserve">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pPr>
        <w:pStyle w:val="0"/>
        <w:spacing w:before="200" w:line-rule="auto"/>
        <w:ind w:firstLine="540"/>
        <w:jc w:val="both"/>
      </w:pPr>
      <w:r>
        <w:rPr>
          <w:sz w:val="20"/>
        </w:rPr>
        <w:t xml:space="preserve">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pPr>
        <w:pStyle w:val="0"/>
        <w:spacing w:before="200" w:line-rule="auto"/>
        <w:ind w:firstLine="540"/>
        <w:jc w:val="both"/>
      </w:pPr>
      <w:r>
        <w:rPr>
          <w:sz w:val="20"/>
        </w:rPr>
        <w:t xml:space="preserve">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pPr>
        <w:pStyle w:val="0"/>
        <w:spacing w:before="200" w:line-rule="auto"/>
        <w:ind w:firstLine="540"/>
        <w:jc w:val="both"/>
      </w:pPr>
      <w:r>
        <w:rPr>
          <w:sz w:val="20"/>
        </w:rPr>
        <w:t xml:space="preserve">низкий риск - VI категория, если значение критерия "существенность" и значение критерия "вероятность" определяются по шкале оценок как "низкая оценка".</w:t>
      </w:r>
    </w:p>
    <w:p>
      <w:pPr>
        <w:pStyle w:val="0"/>
        <w:spacing w:before="200" w:line-rule="auto"/>
        <w:ind w:firstLine="540"/>
        <w:jc w:val="both"/>
      </w:pPr>
      <w:r>
        <w:rPr>
          <w:sz w:val="20"/>
        </w:rPr>
        <w:t xml:space="preserve">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bookmarkStart w:id="93" w:name="P93"/>
    <w:bookmarkEnd w:id="93"/>
    <w:p>
      <w:pPr>
        <w:pStyle w:val="0"/>
        <w:spacing w:before="200" w:line-rule="auto"/>
        <w:ind w:firstLine="540"/>
        <w:jc w:val="both"/>
      </w:pPr>
      <w:r>
        <w:rPr>
          <w:sz w:val="20"/>
        </w:rPr>
        <w:t xml:space="preserve">13. К типовым темам плановых контрольных мероприятий относятся:</w:t>
      </w:r>
    </w:p>
    <w:p>
      <w:pPr>
        <w:pStyle w:val="0"/>
        <w:spacing w:before="200" w:line-rule="auto"/>
        <w:ind w:firstLine="540"/>
        <w:jc w:val="both"/>
      </w:pPr>
      <w:r>
        <w:rPr>
          <w:sz w:val="20"/>
        </w:rPr>
        <w:t xml:space="preserve">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pPr>
        <w:pStyle w:val="0"/>
        <w:jc w:val="both"/>
      </w:pPr>
      <w:r>
        <w:rPr>
          <w:sz w:val="20"/>
        </w:rPr>
        <w:t xml:space="preserve">(в ред. </w:t>
      </w:r>
      <w:hyperlink w:history="0" r:id="rId23"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pPr>
        <w:pStyle w:val="0"/>
        <w:jc w:val="both"/>
      </w:pPr>
      <w:r>
        <w:rPr>
          <w:sz w:val="20"/>
        </w:rPr>
        <w:t xml:space="preserve">(в ред. </w:t>
      </w:r>
      <w:hyperlink w:history="0" r:id="rId24"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
    <w:p>
      <w:pPr>
        <w:pStyle w:val="0"/>
        <w:jc w:val="both"/>
      </w:pPr>
      <w:r>
        <w:rPr>
          <w:sz w:val="20"/>
        </w:rPr>
        <w:t xml:space="preserve">(в ред. </w:t>
      </w:r>
      <w:hyperlink w:history="0" r:id="rId25"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pPr>
        <w:pStyle w:val="0"/>
        <w:jc w:val="both"/>
      </w:pPr>
      <w:r>
        <w:rPr>
          <w:sz w:val="20"/>
        </w:rPr>
        <w:t xml:space="preserve">(в ред. </w:t>
      </w:r>
      <w:hyperlink w:history="0" r:id="rId26"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д) проверка осуществления бюджетных инвестиций;</w:t>
      </w:r>
    </w:p>
    <w:p>
      <w:pPr>
        <w:pStyle w:val="0"/>
        <w:spacing w:before="200" w:line-rule="auto"/>
        <w:ind w:firstLine="540"/>
        <w:jc w:val="both"/>
      </w:pPr>
      <w:r>
        <w:rPr>
          <w:sz w:val="20"/>
        </w:rPr>
        <w:t xml:space="preserve">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pPr>
        <w:pStyle w:val="0"/>
        <w:jc w:val="both"/>
      </w:pPr>
      <w:r>
        <w:rPr>
          <w:sz w:val="20"/>
        </w:rPr>
        <w:t xml:space="preserve">(в ред. </w:t>
      </w:r>
      <w:hyperlink w:history="0" r:id="rId27"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ж) проверка предоставления и использования средств, предоставленных в виде взноса в уставный капитал юридических лиц;</w:t>
      </w:r>
    </w:p>
    <w:p>
      <w:pPr>
        <w:pStyle w:val="0"/>
        <w:spacing w:before="200" w:line-rule="auto"/>
        <w:ind w:firstLine="540"/>
        <w:jc w:val="both"/>
      </w:pPr>
      <w:r>
        <w:rPr>
          <w:sz w:val="20"/>
        </w:rPr>
        <w:t xml:space="preserve">з) проверка исполнения соглашений о предоставлении бюджетных кредитов;</w:t>
      </w:r>
    </w:p>
    <w:p>
      <w:pPr>
        <w:pStyle w:val="0"/>
        <w:spacing w:before="200" w:line-rule="auto"/>
        <w:ind w:firstLine="540"/>
        <w:jc w:val="both"/>
      </w:pPr>
      <w:r>
        <w:rPr>
          <w:sz w:val="20"/>
        </w:rPr>
        <w:t xml:space="preserve">и) проверка использования средств государственного внебюджетного фонда;</w:t>
      </w:r>
    </w:p>
    <w:p>
      <w:pPr>
        <w:pStyle w:val="0"/>
        <w:spacing w:before="200" w:line-rule="auto"/>
        <w:ind w:firstLine="540"/>
        <w:jc w:val="both"/>
      </w:pPr>
      <w:r>
        <w:rPr>
          <w:sz w:val="20"/>
        </w:rPr>
        <w:t xml:space="preserve">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pPr>
        <w:pStyle w:val="0"/>
        <w:spacing w:before="200" w:line-rule="auto"/>
        <w:ind w:firstLine="540"/>
        <w:jc w:val="both"/>
      </w:pPr>
      <w:r>
        <w:rPr>
          <w:sz w:val="20"/>
        </w:rPr>
        <w:t xml:space="preserve">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pPr>
        <w:pStyle w:val="0"/>
        <w:spacing w:before="200" w:line-rule="auto"/>
        <w:ind w:firstLine="540"/>
        <w:jc w:val="both"/>
      </w:pPr>
      <w:r>
        <w:rPr>
          <w:sz w:val="20"/>
        </w:rPr>
        <w:t xml:space="preserve">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pPr>
        <w:pStyle w:val="0"/>
        <w:spacing w:before="200" w:line-rule="auto"/>
        <w:ind w:firstLine="540"/>
        <w:jc w:val="both"/>
      </w:pPr>
      <w:r>
        <w:rPr>
          <w:sz w:val="20"/>
        </w:rPr>
        <w:t xml:space="preserve">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pPr>
        <w:pStyle w:val="0"/>
        <w:spacing w:before="200" w:line-rule="auto"/>
        <w:ind w:firstLine="540"/>
        <w:jc w:val="both"/>
      </w:pPr>
      <w:r>
        <w:rPr>
          <w:sz w:val="20"/>
        </w:rPr>
        <w:t xml:space="preserve">о) проверка (ревизия) финансово-хозяйственной деятельности объекта контроля;</w:t>
      </w:r>
    </w:p>
    <w:p>
      <w:pPr>
        <w:pStyle w:val="0"/>
        <w:spacing w:before="200" w:line-rule="auto"/>
        <w:ind w:firstLine="540"/>
        <w:jc w:val="both"/>
      </w:pPr>
      <w:r>
        <w:rPr>
          <w:sz w:val="20"/>
        </w:rPr>
        <w:t xml:space="preserve">п) проверка соблюдения условий договоров (соглашений) с кредитными организациями, осуществляющими отдельные операции с бюджетными средствами;</w:t>
      </w:r>
    </w:p>
    <w:p>
      <w:pPr>
        <w:pStyle w:val="0"/>
        <w:spacing w:before="200" w:line-rule="auto"/>
        <w:ind w:firstLine="540"/>
        <w:jc w:val="both"/>
      </w:pPr>
      <w:r>
        <w:rPr>
          <w:sz w:val="20"/>
        </w:rPr>
        <w:t xml:space="preserve">р) проверка использования средств кредита (займа), обеспеченного государственной (муниципальной) гарантией;</w:t>
      </w:r>
    </w:p>
    <w:p>
      <w:pPr>
        <w:pStyle w:val="0"/>
        <w:spacing w:before="200" w:line-rule="auto"/>
        <w:ind w:firstLine="540"/>
        <w:jc w:val="both"/>
      </w:pPr>
      <w:r>
        <w:rPr>
          <w:sz w:val="20"/>
        </w:rPr>
        <w:t xml:space="preserve">с) проверка составления и исполнения бюджета субъекта Российской Федерации, получающего дотацию на выравнивание бюджетной обеспеченности;</w:t>
      </w:r>
    </w:p>
    <w:p>
      <w:pPr>
        <w:pStyle w:val="0"/>
        <w:jc w:val="both"/>
      </w:pPr>
      <w:r>
        <w:rPr>
          <w:sz w:val="20"/>
        </w:rPr>
        <w:t xml:space="preserve">(пп. "с" введен </w:t>
      </w:r>
      <w:hyperlink w:history="0" r:id="rId28"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spacing w:before="200" w:line-rule="auto"/>
        <w:ind w:firstLine="540"/>
        <w:jc w:val="both"/>
      </w:pPr>
      <w:r>
        <w:rPr>
          <w:sz w:val="20"/>
        </w:rPr>
        <w:t xml:space="preserve">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pPr>
        <w:pStyle w:val="0"/>
        <w:jc w:val="both"/>
      </w:pPr>
      <w:r>
        <w:rPr>
          <w:sz w:val="20"/>
        </w:rPr>
        <w:t xml:space="preserve">(пп. "т" введен </w:t>
      </w:r>
      <w:hyperlink w:history="0" r:id="rId29"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spacing w:before="200" w:line-rule="auto"/>
        <w:ind w:firstLine="540"/>
        <w:jc w:val="both"/>
      </w:pPr>
      <w:r>
        <w:rPr>
          <w:sz w:val="20"/>
        </w:rPr>
        <w:t xml:space="preserve">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pPr>
        <w:pStyle w:val="0"/>
        <w:jc w:val="both"/>
      </w:pPr>
      <w:r>
        <w:rPr>
          <w:sz w:val="20"/>
        </w:rPr>
        <w:t xml:space="preserve">(пп. "у" введен </w:t>
      </w:r>
      <w:hyperlink w:history="0" r:id="rId30"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spacing w:before="200" w:line-rule="auto"/>
        <w:ind w:firstLine="540"/>
        <w:jc w:val="both"/>
      </w:pPr>
      <w:r>
        <w:rPr>
          <w:sz w:val="20"/>
        </w:rPr>
        <w:t xml:space="preserve">ф) проверка соблюдения порядка определения объема финансового обеспечения оказания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pPr>
        <w:pStyle w:val="0"/>
        <w:jc w:val="both"/>
      </w:pPr>
      <w:r>
        <w:rPr>
          <w:sz w:val="20"/>
        </w:rPr>
        <w:t xml:space="preserve">(пп. "ф" введен </w:t>
      </w:r>
      <w:hyperlink w:history="0" r:id="rId31"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spacing w:before="200" w:line-rule="auto"/>
        <w:ind w:firstLine="540"/>
        <w:jc w:val="both"/>
      </w:pPr>
      <w:r>
        <w:rPr>
          <w:sz w:val="20"/>
        </w:rPr>
        <w:t xml:space="preserve">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w:t>
      </w:r>
    </w:p>
    <w:p>
      <w:pPr>
        <w:pStyle w:val="0"/>
        <w:jc w:val="both"/>
      </w:pPr>
      <w:r>
        <w:rPr>
          <w:sz w:val="20"/>
        </w:rPr>
        <w:t xml:space="preserve">(пп. "х" введен </w:t>
      </w:r>
      <w:hyperlink w:history="0" r:id="rId32"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 в ред. </w:t>
      </w:r>
      <w:hyperlink w:history="0" r:id="rId33"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pPr>
        <w:pStyle w:val="0"/>
        <w:jc w:val="both"/>
      </w:pPr>
      <w:r>
        <w:rPr>
          <w:sz w:val="20"/>
        </w:rPr>
        <w:t xml:space="preserve">(пп. "ц" введен </w:t>
      </w:r>
      <w:hyperlink w:history="0" r:id="rId34"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spacing w:before="200" w:line-rule="auto"/>
        <w:ind w:firstLine="540"/>
        <w:jc w:val="both"/>
      </w:pPr>
      <w:r>
        <w:rPr>
          <w:sz w:val="20"/>
        </w:rPr>
        <w:t xml:space="preserve">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pPr>
        <w:pStyle w:val="0"/>
        <w:spacing w:before="200" w:line-rule="auto"/>
        <w:ind w:firstLine="540"/>
        <w:jc w:val="both"/>
      </w:pPr>
      <w:r>
        <w:rPr>
          <w:sz w:val="20"/>
        </w:rPr>
        <w:t xml:space="preserve">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pPr>
        <w:pStyle w:val="0"/>
        <w:jc w:val="both"/>
      </w:pPr>
      <w:r>
        <w:rPr>
          <w:sz w:val="20"/>
        </w:rPr>
        <w:t xml:space="preserve">(пп. "ч" введен </w:t>
      </w:r>
      <w:hyperlink w:history="0" r:id="rId35"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06.09.2021 N 1504)</w:t>
      </w:r>
    </w:p>
    <w:p>
      <w:pPr>
        <w:pStyle w:val="0"/>
        <w:spacing w:before="200" w:line-rule="auto"/>
        <w:ind w:firstLine="540"/>
        <w:jc w:val="both"/>
      </w:pPr>
      <w:r>
        <w:rPr>
          <w:sz w:val="20"/>
        </w:rPr>
        <w:t xml:space="preserve">14. 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
    <w:p>
      <w:pPr>
        <w:pStyle w:val="0"/>
        <w:jc w:val="both"/>
      </w:pPr>
      <w:r>
        <w:rPr>
          <w:sz w:val="20"/>
        </w:rPr>
        <w:t xml:space="preserve">(в ред. </w:t>
      </w:r>
      <w:hyperlink w:history="0" r:id="rId36"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history="0" w:anchor="P93" w:tooltip="13. К типовым темам плановых контрольных мероприятий относятся:">
        <w:r>
          <w:rPr>
            <w:sz w:val="20"/>
            <w:color w:val="0000ff"/>
          </w:rPr>
          <w:t xml:space="preserve">пунктом 13</w:t>
        </w:r>
      </w:hyperlink>
      <w:r>
        <w:rPr>
          <w:sz w:val="20"/>
        </w:rPr>
        <w:t xml:space="preserve"> стандарта типовых тем контрольных мероприятий в части предмета контроля и (или) указания на объекты контроля в соответствии со </w:t>
      </w:r>
      <w:hyperlink w:history="0" r:id="rId3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статьей 266.1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history="0" w:anchor="P93" w:tooltip="13. К типовым темам плановых контрольных мероприятий относятся:">
        <w:r>
          <w:rPr>
            <w:sz w:val="20"/>
            <w:color w:val="0000ff"/>
          </w:rPr>
          <w:t xml:space="preserve">пункте 13</w:t>
        </w:r>
      </w:hyperlink>
      <w:r>
        <w:rPr>
          <w:sz w:val="20"/>
        </w:rPr>
        <w:t xml:space="preserve"> стандарта и в ведомственном стандарте органа контроля.</w:t>
      </w:r>
    </w:p>
    <w:p>
      <w:pPr>
        <w:pStyle w:val="0"/>
        <w:spacing w:before="200" w:line-rule="auto"/>
        <w:ind w:firstLine="540"/>
        <w:jc w:val="both"/>
      </w:pPr>
      <w:r>
        <w:rPr>
          <w:sz w:val="20"/>
        </w:rPr>
        <w:t xml:space="preserve">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
    <w:p>
      <w:pPr>
        <w:pStyle w:val="0"/>
        <w:jc w:val="both"/>
      </w:pPr>
      <w:r>
        <w:rPr>
          <w:sz w:val="20"/>
        </w:rPr>
        <w:t xml:space="preserve">(абзац введен </w:t>
      </w:r>
      <w:hyperlink w:history="0" r:id="rId38"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 в ред. </w:t>
      </w:r>
      <w:hyperlink w:history="0" r:id="rId39"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pPr>
        <w:pStyle w:val="0"/>
        <w:spacing w:before="200" w:line-rule="auto"/>
        <w:ind w:firstLine="540"/>
        <w:jc w:val="both"/>
      </w:pPr>
      <w:r>
        <w:rPr>
          <w:sz w:val="20"/>
        </w:rPr>
        <w:t xml:space="preserve">а) обеспеченность органа контроля кадровыми, материально-техническими и финансовыми ресурсами в очередном финансовом году;</w:t>
      </w:r>
    </w:p>
    <w:p>
      <w:pPr>
        <w:pStyle w:val="0"/>
        <w:spacing w:before="200" w:line-rule="auto"/>
        <w:ind w:firstLine="540"/>
        <w:jc w:val="both"/>
      </w:pPr>
      <w:r>
        <w:rPr>
          <w:sz w:val="20"/>
        </w:rPr>
        <w:t xml:space="preserve">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pPr>
        <w:pStyle w:val="0"/>
        <w:spacing w:before="200" w:line-rule="auto"/>
        <w:ind w:firstLine="540"/>
        <w:jc w:val="both"/>
      </w:pPr>
      <w:r>
        <w:rPr>
          <w:sz w:val="20"/>
        </w:rPr>
        <w:t xml:space="preserve">16.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соответственно, а также безусловного и первоочередного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pPr>
        <w:pStyle w:val="0"/>
        <w:jc w:val="both"/>
      </w:pPr>
      <w:r>
        <w:rPr>
          <w:sz w:val="20"/>
        </w:rPr>
        <w:t xml:space="preserve">(в ред. Постановлений Правительства РФ от 06.09.2021 </w:t>
      </w:r>
      <w:hyperlink w:history="0" r:id="rId40"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rPr>
        <w:t xml:space="preserve">, от 09.12.2022 </w:t>
      </w:r>
      <w:hyperlink w:history="0" r:id="rId41"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17. План контрольных мероприятий должен быть утвержден до завершения года, предшествующего планируемому году.</w:t>
      </w:r>
    </w:p>
    <w:p>
      <w:pPr>
        <w:pStyle w:val="0"/>
        <w:spacing w:before="200" w:line-rule="auto"/>
        <w:ind w:firstLine="540"/>
        <w:jc w:val="both"/>
      </w:pPr>
      <w:r>
        <w:rPr>
          <w:sz w:val="20"/>
        </w:rPr>
        <w:t xml:space="preserve">18. В утвержденный план контрольных мероприятий могут вноситься изменения в связи с:</w:t>
      </w:r>
    </w:p>
    <w:p>
      <w:pPr>
        <w:pStyle w:val="0"/>
        <w:jc w:val="both"/>
      </w:pPr>
      <w:r>
        <w:rPr>
          <w:sz w:val="20"/>
        </w:rPr>
        <w:t xml:space="preserve">(в ред. </w:t>
      </w:r>
      <w:hyperlink w:history="0" r:id="rId42"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наступлением обстоятельств непреодолимой силы (чрезвычайных и непредотвратимых при наступивших условиях обстоятельств);</w:t>
      </w:r>
    </w:p>
    <w:p>
      <w:pPr>
        <w:pStyle w:val="0"/>
        <w:spacing w:before="200" w:line-rule="auto"/>
        <w:ind w:firstLine="540"/>
        <w:jc w:val="both"/>
      </w:pPr>
      <w:r>
        <w:rPr>
          <w:sz w:val="20"/>
        </w:rPr>
        <w:t xml:space="preserve">недостаточностью временных и (или) трудовых ресурсов при необходимости проведения внеплановых контрольных мероприятий;</w:t>
      </w:r>
    </w:p>
    <w:p>
      <w:pPr>
        <w:pStyle w:val="0"/>
        <w:spacing w:before="200" w:line-rule="auto"/>
        <w:ind w:firstLine="540"/>
        <w:jc w:val="both"/>
      </w:pPr>
      <w:r>
        <w:rPr>
          <w:sz w:val="20"/>
        </w:rPr>
        <w:t xml:space="preserve">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pPr>
        <w:pStyle w:val="0"/>
        <w:spacing w:before="200" w:line-rule="auto"/>
        <w:ind w:firstLine="540"/>
        <w:jc w:val="both"/>
      </w:pPr>
      <w:r>
        <w:rPr>
          <w:sz w:val="20"/>
        </w:rPr>
        <w:t xml:space="preserve">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pPr>
        <w:pStyle w:val="0"/>
        <w:spacing w:before="200" w:line-rule="auto"/>
        <w:ind w:firstLine="540"/>
        <w:jc w:val="both"/>
      </w:pPr>
      <w:r>
        <w:rPr>
          <w:sz w:val="20"/>
        </w:rPr>
        <w:t xml:space="preserve">реорганизацией, ликвидацией (упразднением) объектов контроля;</w:t>
      </w:r>
    </w:p>
    <w:p>
      <w:pPr>
        <w:pStyle w:val="0"/>
        <w:jc w:val="both"/>
      </w:pPr>
      <w:r>
        <w:rPr>
          <w:sz w:val="20"/>
        </w:rPr>
        <w:t xml:space="preserve">(в ред. </w:t>
      </w:r>
      <w:hyperlink w:history="0" r:id="rId43"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поручениями (актами)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w:t>
      </w:r>
    </w:p>
    <w:p>
      <w:pPr>
        <w:pStyle w:val="0"/>
        <w:jc w:val="both"/>
      </w:pPr>
      <w:r>
        <w:rPr>
          <w:sz w:val="20"/>
        </w:rPr>
        <w:t xml:space="preserve">(абзац введен </w:t>
      </w:r>
      <w:hyperlink w:history="0" r:id="rId44"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02.03.2023 N 341)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27.02.2020 N 208</w:t>
            <w:br/>
            <w:t>(ред. от 02.03.2023)</w:t>
            <w:br/>
            <w:t>"Об утверждении федерального стандарта внутренне...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3627&amp;dst=100018" TargetMode = "External"/>
	<Relationship Id="rId8" Type="http://schemas.openxmlformats.org/officeDocument/2006/relationships/hyperlink" Target="https://login.consultant.ru/link/?req=doc&amp;base=LAW&amp;n=394872&amp;dst=100013" TargetMode = "External"/>
	<Relationship Id="rId9" Type="http://schemas.openxmlformats.org/officeDocument/2006/relationships/hyperlink" Target="https://login.consultant.ru/link/?req=doc&amp;base=LAW&amp;n=412271&amp;dst=100016" TargetMode = "External"/>
	<Relationship Id="rId10" Type="http://schemas.openxmlformats.org/officeDocument/2006/relationships/hyperlink" Target="https://login.consultant.ru/link/?req=doc&amp;base=LAW&amp;n=482333&amp;dst=100181" TargetMode = "External"/>
	<Relationship Id="rId11" Type="http://schemas.openxmlformats.org/officeDocument/2006/relationships/hyperlink" Target="https://login.consultant.ru/link/?req=doc&amp;base=LAW&amp;n=440971&amp;dst=100009" TargetMode = "External"/>
	<Relationship Id="rId12" Type="http://schemas.openxmlformats.org/officeDocument/2006/relationships/hyperlink" Target="https://login.consultant.ru/link/?req=doc&amp;base=LAW&amp;n=469774&amp;dst=5802" TargetMode = "External"/>
	<Relationship Id="rId13" Type="http://schemas.openxmlformats.org/officeDocument/2006/relationships/hyperlink" Target="https://login.consultant.ru/link/?req=doc&amp;base=LAW&amp;n=373627&amp;dst=100019" TargetMode = "External"/>
	<Relationship Id="rId14" Type="http://schemas.openxmlformats.org/officeDocument/2006/relationships/hyperlink" Target="https://login.consultant.ru/link/?req=doc&amp;base=LAW&amp;n=373627&amp;dst=100021" TargetMode = "External"/>
	<Relationship Id="rId15" Type="http://schemas.openxmlformats.org/officeDocument/2006/relationships/hyperlink" Target="https://login.consultant.ru/link/?req=doc&amp;base=LAW&amp;n=394872&amp;dst=100013" TargetMode = "External"/>
	<Relationship Id="rId16" Type="http://schemas.openxmlformats.org/officeDocument/2006/relationships/hyperlink" Target="https://login.consultant.ru/link/?req=doc&amp;base=LAW&amp;n=412271&amp;dst=100016" TargetMode = "External"/>
	<Relationship Id="rId17" Type="http://schemas.openxmlformats.org/officeDocument/2006/relationships/hyperlink" Target="https://login.consultant.ru/link/?req=doc&amp;base=LAW&amp;n=482333&amp;dst=100181" TargetMode = "External"/>
	<Relationship Id="rId18" Type="http://schemas.openxmlformats.org/officeDocument/2006/relationships/hyperlink" Target="https://login.consultant.ru/link/?req=doc&amp;base=LAW&amp;n=440971&amp;dst=100009" TargetMode = "External"/>
	<Relationship Id="rId19" Type="http://schemas.openxmlformats.org/officeDocument/2006/relationships/hyperlink" Target="https://login.consultant.ru/link/?req=doc&amp;base=LAW&amp;n=469774&amp;dst=4878" TargetMode = "External"/>
	<Relationship Id="rId20" Type="http://schemas.openxmlformats.org/officeDocument/2006/relationships/hyperlink" Target="https://login.consultant.ru/link/?req=doc&amp;base=LAW&amp;n=412271&amp;dst=100016" TargetMode = "External"/>
	<Relationship Id="rId21" Type="http://schemas.openxmlformats.org/officeDocument/2006/relationships/hyperlink" Target="https://login.consultant.ru/link/?req=doc&amp;base=LAW&amp;n=483131&amp;dst=1102" TargetMode = "External"/>
	<Relationship Id="rId22" Type="http://schemas.openxmlformats.org/officeDocument/2006/relationships/hyperlink" Target="https://login.consultant.ru/link/?req=doc&amp;base=LAW&amp;n=483131&amp;dst=996" TargetMode = "External"/>
	<Relationship Id="rId23" Type="http://schemas.openxmlformats.org/officeDocument/2006/relationships/hyperlink" Target="https://login.consultant.ru/link/?req=doc&amp;base=LAW&amp;n=373627&amp;dst=100023" TargetMode = "External"/>
	<Relationship Id="rId24" Type="http://schemas.openxmlformats.org/officeDocument/2006/relationships/hyperlink" Target="https://login.consultant.ru/link/?req=doc&amp;base=LAW&amp;n=373627&amp;dst=100024" TargetMode = "External"/>
	<Relationship Id="rId25" Type="http://schemas.openxmlformats.org/officeDocument/2006/relationships/hyperlink" Target="https://login.consultant.ru/link/?req=doc&amp;base=LAW&amp;n=373627&amp;dst=100025" TargetMode = "External"/>
	<Relationship Id="rId26" Type="http://schemas.openxmlformats.org/officeDocument/2006/relationships/hyperlink" Target="https://login.consultant.ru/link/?req=doc&amp;base=LAW&amp;n=373627&amp;dst=100026" TargetMode = "External"/>
	<Relationship Id="rId27" Type="http://schemas.openxmlformats.org/officeDocument/2006/relationships/hyperlink" Target="https://login.consultant.ru/link/?req=doc&amp;base=LAW&amp;n=373627&amp;dst=100027" TargetMode = "External"/>
	<Relationship Id="rId28" Type="http://schemas.openxmlformats.org/officeDocument/2006/relationships/hyperlink" Target="https://login.consultant.ru/link/?req=doc&amp;base=LAW&amp;n=373627&amp;dst=100028" TargetMode = "External"/>
	<Relationship Id="rId29" Type="http://schemas.openxmlformats.org/officeDocument/2006/relationships/hyperlink" Target="https://login.consultant.ru/link/?req=doc&amp;base=LAW&amp;n=373627&amp;dst=100030" TargetMode = "External"/>
	<Relationship Id="rId30" Type="http://schemas.openxmlformats.org/officeDocument/2006/relationships/hyperlink" Target="https://login.consultant.ru/link/?req=doc&amp;base=LAW&amp;n=373627&amp;dst=100031" TargetMode = "External"/>
	<Relationship Id="rId31" Type="http://schemas.openxmlformats.org/officeDocument/2006/relationships/hyperlink" Target="https://login.consultant.ru/link/?req=doc&amp;base=LAW&amp;n=373627&amp;dst=100032" TargetMode = "External"/>
	<Relationship Id="rId32" Type="http://schemas.openxmlformats.org/officeDocument/2006/relationships/hyperlink" Target="https://login.consultant.ru/link/?req=doc&amp;base=LAW&amp;n=373627&amp;dst=100033" TargetMode = "External"/>
	<Relationship Id="rId33" Type="http://schemas.openxmlformats.org/officeDocument/2006/relationships/hyperlink" Target="https://login.consultant.ru/link/?req=doc&amp;base=LAW&amp;n=482333&amp;dst=100182" TargetMode = "External"/>
	<Relationship Id="rId34" Type="http://schemas.openxmlformats.org/officeDocument/2006/relationships/hyperlink" Target="https://login.consultant.ru/link/?req=doc&amp;base=LAW&amp;n=373627&amp;dst=100034" TargetMode = "External"/>
	<Relationship Id="rId35" Type="http://schemas.openxmlformats.org/officeDocument/2006/relationships/hyperlink" Target="https://login.consultant.ru/link/?req=doc&amp;base=LAW&amp;n=394872&amp;dst=100014" TargetMode = "External"/>
	<Relationship Id="rId36" Type="http://schemas.openxmlformats.org/officeDocument/2006/relationships/hyperlink" Target="https://login.consultant.ru/link/?req=doc&amp;base=LAW&amp;n=394872&amp;dst=100017" TargetMode = "External"/>
	<Relationship Id="rId37" Type="http://schemas.openxmlformats.org/officeDocument/2006/relationships/hyperlink" Target="https://login.consultant.ru/link/?req=doc&amp;base=LAW&amp;n=469774&amp;dst=3673" TargetMode = "External"/>
	<Relationship Id="rId38" Type="http://schemas.openxmlformats.org/officeDocument/2006/relationships/hyperlink" Target="https://login.consultant.ru/link/?req=doc&amp;base=LAW&amp;n=373627&amp;dst=100035" TargetMode = "External"/>
	<Relationship Id="rId39" Type="http://schemas.openxmlformats.org/officeDocument/2006/relationships/hyperlink" Target="https://login.consultant.ru/link/?req=doc&amp;base=LAW&amp;n=482333&amp;dst=100182" TargetMode = "External"/>
	<Relationship Id="rId40" Type="http://schemas.openxmlformats.org/officeDocument/2006/relationships/hyperlink" Target="https://login.consultant.ru/link/?req=doc&amp;base=LAW&amp;n=394872&amp;dst=100018" TargetMode = "External"/>
	<Relationship Id="rId41" Type="http://schemas.openxmlformats.org/officeDocument/2006/relationships/hyperlink" Target="https://login.consultant.ru/link/?req=doc&amp;base=LAW&amp;n=482333&amp;dst=100183" TargetMode = "External"/>
	<Relationship Id="rId42" Type="http://schemas.openxmlformats.org/officeDocument/2006/relationships/hyperlink" Target="https://login.consultant.ru/link/?req=doc&amp;base=LAW&amp;n=440971&amp;dst=100010" TargetMode = "External"/>
	<Relationship Id="rId43" Type="http://schemas.openxmlformats.org/officeDocument/2006/relationships/hyperlink" Target="https://login.consultant.ru/link/?req=doc&amp;base=LAW&amp;n=373627&amp;dst=100037" TargetMode = "External"/>
	<Relationship Id="rId44" Type="http://schemas.openxmlformats.org/officeDocument/2006/relationships/hyperlink" Target="https://login.consultant.ru/link/?req=doc&amp;base=LAW&amp;n=440971&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27.02.2020 N 208
(ред. от 02.03.2023)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dc:title>
  <dcterms:created xsi:type="dcterms:W3CDTF">2024-10-07T07:08:13Z</dcterms:created>
</cp:coreProperties>
</file>