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16.09.2020 N 1478</w:t>
              <w:br/>
              <w:t xml:space="preserve">(ред. от 02.03.2023)</w:t>
              <w:br/>
              <w:t xml:space="preserve">"Об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16 сентября 2020 г. N 1478</w:t>
      </w:r>
    </w:p>
    <w:p>
      <w:pPr>
        <w:pStyle w:val="2"/>
        <w:jc w:val="center"/>
      </w:pPr>
      <w:r>
        <w:rPr>
          <w:sz w:val="20"/>
        </w:rPr>
      </w:r>
    </w:p>
    <w:p>
      <w:pPr>
        <w:pStyle w:val="2"/>
        <w:jc w:val="center"/>
      </w:pPr>
      <w:r>
        <w:rPr>
          <w:sz w:val="20"/>
        </w:rPr>
        <w:t xml:space="preserve">ОБ УТВЕРЖДЕНИИ ФЕДЕРАЛЬНОГО СТАНДАРТА</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"ПРАВИЛА СОСТАВЛЕНИЯ ОТЧЕТНОСТИ О РЕЗУЛЬТАТАХ</w:t>
      </w:r>
    </w:p>
    <w:p>
      <w:pPr>
        <w:pStyle w:val="2"/>
        <w:jc w:val="center"/>
      </w:pPr>
      <w:r>
        <w:rPr>
          <w:sz w:val="20"/>
        </w:rPr>
        <w:t xml:space="preserve">КОНТРОЛЬНОЙ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21.03.2022 </w:t>
            </w:r>
            <w:hyperlink w:history="0" r:id="rId7"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w:t>
            </w:r>
          </w:p>
          <w:p>
            <w:pPr>
              <w:pStyle w:val="0"/>
              <w:jc w:val="center"/>
            </w:pPr>
            <w:r>
              <w:rPr>
                <w:sz w:val="20"/>
                <w:color w:val="392c69"/>
              </w:rPr>
              <w:t xml:space="preserve">от 09.12.2022 </w:t>
            </w:r>
            <w:hyperlink w:history="0" r:id="rId8"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02.03.2023 </w:t>
            </w:r>
            <w:hyperlink w:history="0" r:id="rId9"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3 статьи 269.2</w:t>
        </w:r>
      </w:hyperlink>
      <w:r>
        <w:rPr>
          <w:sz w:val="20"/>
        </w:rPr>
        <w:t xml:space="preserve"> Бюджетного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Утвердить прилагаемый федеральный </w:t>
      </w:r>
      <w:hyperlink w:history="0" w:anchor="P30" w:tooltip="ФЕДЕРАЛЬНЫЙ СТАНДАРТ">
        <w:r>
          <w:rPr>
            <w:sz w:val="20"/>
            <w:color w:val="0000ff"/>
          </w:rPr>
          <w:t xml:space="preserve">стандарт</w:t>
        </w:r>
      </w:hyperlink>
      <w:r>
        <w:rPr>
          <w:sz w:val="20"/>
        </w:rPr>
        <w:t xml:space="preserve"> внутреннего государственного (муниципального) финансового контроля "Правила составления отчетности о результатах контрольной деятельности".</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16 сентября 2020 г. N 1478</w:t>
      </w:r>
    </w:p>
    <w:p>
      <w:pPr>
        <w:pStyle w:val="0"/>
        <w:jc w:val="both"/>
      </w:pPr>
      <w:r>
        <w:rPr>
          <w:sz w:val="20"/>
        </w:rPr>
      </w:r>
    </w:p>
    <w:bookmarkStart w:id="30" w:name="P30"/>
    <w:bookmarkEnd w:id="30"/>
    <w:p>
      <w:pPr>
        <w:pStyle w:val="2"/>
        <w:jc w:val="center"/>
      </w:pPr>
      <w:r>
        <w:rPr>
          <w:sz w:val="20"/>
        </w:rPr>
        <w:t xml:space="preserve">ФЕДЕРАЛЬНЫЙ СТАНДАРТ</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"ПРАВИЛА СОСТАВЛЕНИЯ ОТЧЕТНОСТИ О РЕЗУЛЬТАТАХ</w:t>
      </w:r>
    </w:p>
    <w:p>
      <w:pPr>
        <w:pStyle w:val="2"/>
        <w:jc w:val="center"/>
      </w:pPr>
      <w:r>
        <w:rPr>
          <w:sz w:val="20"/>
        </w:rPr>
        <w:t xml:space="preserve">КОНТРОЛЬНОЙ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21.03.2022 </w:t>
            </w:r>
            <w:hyperlink w:history="0" r:id="rId11"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w:t>
            </w:r>
          </w:p>
          <w:p>
            <w:pPr>
              <w:pStyle w:val="0"/>
              <w:jc w:val="center"/>
            </w:pPr>
            <w:r>
              <w:rPr>
                <w:sz w:val="20"/>
                <w:color w:val="392c69"/>
              </w:rPr>
              <w:t xml:space="preserve">от 09.12.2022 </w:t>
            </w:r>
            <w:hyperlink w:history="0" r:id="rId12"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02.03.2023 </w:t>
            </w:r>
            <w:hyperlink w:history="0" r:id="rId13"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стандарт внутреннего государственного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государственного (муниципального) финансового контроля, предусматривающие в том числе </w:t>
      </w:r>
      <w:hyperlink w:history="0" w:anchor="P116" w:tooltip="ОТЧЕТ">
        <w:r>
          <w:rPr>
            <w:sz w:val="20"/>
            <w:color w:val="0000ff"/>
          </w:rPr>
          <w:t xml:space="preserve">форму</w:t>
        </w:r>
      </w:hyperlink>
      <w:r>
        <w:rPr>
          <w:sz w:val="20"/>
        </w:rPr>
        <w:t xml:space="preserve"> отчета о результатах контрольной деятельности органа внутреннего государственного (муниципального) финансового контроля (далее соответственно - отчет, орган контроля), а также порядок его представления и опубликования.</w:t>
      </w:r>
    </w:p>
    <w:p>
      <w:pPr>
        <w:pStyle w:val="0"/>
        <w:spacing w:before="200" w:line-rule="auto"/>
        <w:ind w:firstLine="540"/>
        <w:jc w:val="both"/>
      </w:pPr>
      <w:r>
        <w:rPr>
          <w:sz w:val="20"/>
        </w:rPr>
        <w:t xml:space="preserve">2. В </w:t>
      </w:r>
      <w:hyperlink w:history="0" w:anchor="P116" w:tooltip="ОТЧЕТ">
        <w:r>
          <w:rPr>
            <w:sz w:val="20"/>
            <w:color w:val="0000ff"/>
          </w:rPr>
          <w:t xml:space="preserve">отчете</w:t>
        </w:r>
      </w:hyperlink>
      <w:r>
        <w:rPr>
          <w:sz w:val="20"/>
        </w:rPr>
        <w:t xml:space="preserve">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pPr>
        <w:pStyle w:val="0"/>
        <w:spacing w:before="200" w:line-rule="auto"/>
        <w:ind w:firstLine="540"/>
        <w:jc w:val="both"/>
      </w:pPr>
      <w:r>
        <w:rPr>
          <w:sz w:val="20"/>
        </w:rPr>
        <w:t xml:space="preserve">3. Отчетным периодом является календарный год - с 1 января по 31 декабря включительно.</w:t>
      </w:r>
    </w:p>
    <w:p>
      <w:pPr>
        <w:pStyle w:val="0"/>
        <w:spacing w:before="200" w:line-rule="auto"/>
        <w:ind w:firstLine="540"/>
        <w:jc w:val="both"/>
      </w:pPr>
      <w:r>
        <w:rPr>
          <w:sz w:val="20"/>
        </w:rPr>
        <w:t xml:space="preserve">4. В </w:t>
      </w:r>
      <w:hyperlink w:history="0" w:anchor="P116" w:tooltip="ОТЧЕТ">
        <w:r>
          <w:rPr>
            <w:sz w:val="20"/>
            <w:color w:val="0000ff"/>
          </w:rPr>
          <w:t xml:space="preserve">отчет</w:t>
        </w:r>
      </w:hyperlink>
      <w:r>
        <w:rPr>
          <w:sz w:val="20"/>
        </w:rPr>
        <w:t xml:space="preserve"> включаются сведения по контрольным мероприятиям, завершенным в отчетном периоде, независимо от даты их начала.</w:t>
      </w:r>
    </w:p>
    <w:p>
      <w:pPr>
        <w:pStyle w:val="0"/>
        <w:spacing w:before="200" w:line-rule="auto"/>
        <w:ind w:firstLine="540"/>
        <w:jc w:val="both"/>
      </w:pPr>
      <w:r>
        <w:rPr>
          <w:sz w:val="20"/>
        </w:rPr>
        <w:t xml:space="preserve">5. Стоимостные показатели отражаются в тысячах рублей с точностью до первого десятичного знака.</w:t>
      </w:r>
    </w:p>
    <w:p>
      <w:pPr>
        <w:pStyle w:val="0"/>
        <w:jc w:val="both"/>
      </w:pPr>
      <w:r>
        <w:rPr>
          <w:sz w:val="20"/>
        </w:rPr>
      </w:r>
    </w:p>
    <w:p>
      <w:pPr>
        <w:pStyle w:val="2"/>
        <w:outlineLvl w:val="1"/>
        <w:jc w:val="center"/>
      </w:pPr>
      <w:r>
        <w:rPr>
          <w:sz w:val="20"/>
        </w:rPr>
        <w:t xml:space="preserve">II. Правила составления отчетности о результатах</w:t>
      </w:r>
    </w:p>
    <w:p>
      <w:pPr>
        <w:pStyle w:val="2"/>
        <w:jc w:val="center"/>
      </w:pPr>
      <w:r>
        <w:rPr>
          <w:sz w:val="20"/>
        </w:rPr>
        <w:t xml:space="preserve">контрольной деятельности органов контроля и форма отчета</w:t>
      </w:r>
    </w:p>
    <w:p>
      <w:pPr>
        <w:pStyle w:val="0"/>
        <w:jc w:val="both"/>
      </w:pPr>
      <w:r>
        <w:rPr>
          <w:sz w:val="20"/>
        </w:rPr>
      </w:r>
    </w:p>
    <w:p>
      <w:pPr>
        <w:pStyle w:val="0"/>
        <w:ind w:firstLine="540"/>
        <w:jc w:val="both"/>
      </w:pPr>
      <w:r>
        <w:rPr>
          <w:sz w:val="20"/>
        </w:rPr>
        <w:t xml:space="preserve">6. Отчет составляется по форме согласно </w:t>
      </w:r>
      <w:hyperlink w:history="0" w:anchor="P116" w:tooltip="ОТЧЕТ">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7. В </w:t>
      </w:r>
      <w:hyperlink w:history="0" w:anchor="P149" w:tooltip="010">
        <w:r>
          <w:rPr>
            <w:sz w:val="20"/>
            <w:color w:val="0000ff"/>
          </w:rPr>
          <w:t xml:space="preserve">строках 010</w:t>
        </w:r>
      </w:hyperlink>
      <w:r>
        <w:rPr>
          <w:sz w:val="20"/>
        </w:rPr>
        <w:t xml:space="preserve"> - </w:t>
      </w:r>
      <w:hyperlink w:history="0" w:anchor="P156" w:tooltip="010/2">
        <w:r>
          <w:rPr>
            <w:sz w:val="20"/>
            <w:color w:val="0000ff"/>
          </w:rPr>
          <w:t xml:space="preserve">010/2</w:t>
        </w:r>
      </w:hyperlink>
      <w:r>
        <w:rPr>
          <w:sz w:val="20"/>
        </w:rP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p>
      <w:pPr>
        <w:pStyle w:val="0"/>
        <w:spacing w:before="200" w:line-rule="auto"/>
        <w:ind w:firstLine="540"/>
        <w:jc w:val="both"/>
      </w:pPr>
      <w:r>
        <w:rPr>
          <w:sz w:val="20"/>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history="0" w:anchor="P153" w:tooltip="010/1">
        <w:r>
          <w:rPr>
            <w:sz w:val="20"/>
            <w:color w:val="0000ff"/>
          </w:rPr>
          <w:t xml:space="preserve">(строка 010/1)</w:t>
        </w:r>
      </w:hyperlink>
      <w:r>
        <w:rPr>
          <w:sz w:val="20"/>
        </w:rPr>
        <w:t xml:space="preserve">;</w:t>
      </w:r>
    </w:p>
    <w:p>
      <w:pPr>
        <w:pStyle w:val="0"/>
        <w:spacing w:before="200" w:line-rule="auto"/>
        <w:ind w:firstLine="540"/>
        <w:jc w:val="both"/>
      </w:pPr>
      <w:r>
        <w:rPr>
          <w:sz w:val="20"/>
        </w:rP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history="0" w:anchor="P156" w:tooltip="010/2">
        <w:r>
          <w:rPr>
            <w:sz w:val="20"/>
            <w:color w:val="0000ff"/>
          </w:rPr>
          <w:t xml:space="preserve">(строка 010/2)</w:t>
        </w:r>
      </w:hyperlink>
      <w:r>
        <w:rPr>
          <w:sz w:val="20"/>
        </w:rPr>
        <w:t xml:space="preserve">.</w:t>
      </w:r>
    </w:p>
    <w:p>
      <w:pPr>
        <w:pStyle w:val="0"/>
        <w:spacing w:before="200" w:line-rule="auto"/>
        <w:ind w:firstLine="540"/>
        <w:jc w:val="both"/>
      </w:pPr>
      <w:r>
        <w:rPr>
          <w:sz w:val="20"/>
        </w:rPr>
        <w:t xml:space="preserve">В </w:t>
      </w:r>
      <w:hyperlink w:history="0" w:anchor="P159" w:tooltip="011">
        <w:r>
          <w:rPr>
            <w:sz w:val="20"/>
            <w:color w:val="0000ff"/>
          </w:rPr>
          <w:t xml:space="preserve">строке 011</w:t>
        </w:r>
      </w:hyperlink>
      <w:r>
        <w:rPr>
          <w:sz w:val="20"/>
        </w:rP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w:t>
      </w:r>
      <w:hyperlink w:history="0" w:anchor="P149" w:tooltip="010">
        <w:r>
          <w:rPr>
            <w:sz w:val="20"/>
            <w:color w:val="0000ff"/>
          </w:rPr>
          <w:t xml:space="preserve">строки 010</w:t>
        </w:r>
      </w:hyperlink>
      <w:r>
        <w:rPr>
          <w:sz w:val="20"/>
        </w:rPr>
        <w:t xml:space="preserve">).</w:t>
      </w:r>
    </w:p>
    <w:p>
      <w:pPr>
        <w:pStyle w:val="0"/>
        <w:spacing w:before="200" w:line-rule="auto"/>
        <w:ind w:firstLine="540"/>
        <w:jc w:val="both"/>
      </w:pPr>
      <w:r>
        <w:rPr>
          <w:sz w:val="20"/>
        </w:rPr>
        <w:t xml:space="preserve">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history="0" w:anchor="P153" w:tooltip="010/1">
        <w:r>
          <w:rPr>
            <w:sz w:val="20"/>
            <w:color w:val="0000ff"/>
          </w:rPr>
          <w:t xml:space="preserve">строке 010/1</w:t>
        </w:r>
      </w:hyperlink>
      <w:r>
        <w:rPr>
          <w:sz w:val="20"/>
        </w:rPr>
        <w:t xml:space="preserve"> учитывается только объем предоставленных средств, по которым проведены соответствующие контрольные мероприятия.</w:t>
      </w:r>
    </w:p>
    <w:p>
      <w:pPr>
        <w:pStyle w:val="0"/>
        <w:spacing w:before="200" w:line-rule="auto"/>
        <w:ind w:firstLine="540"/>
        <w:jc w:val="both"/>
      </w:pPr>
      <w:r>
        <w:rPr>
          <w:sz w:val="20"/>
        </w:rPr>
        <w:t xml:space="preserve">В </w:t>
      </w:r>
      <w:hyperlink w:history="0" w:anchor="P162" w:tooltip="020">
        <w:r>
          <w:rPr>
            <w:sz w:val="20"/>
            <w:color w:val="0000ff"/>
          </w:rPr>
          <w:t xml:space="preserve">строках 020</w:t>
        </w:r>
      </w:hyperlink>
      <w:r>
        <w:rPr>
          <w:sz w:val="20"/>
        </w:rPr>
        <w:t xml:space="preserve"> - </w:t>
      </w:r>
      <w:hyperlink w:history="0" w:anchor="P169" w:tooltip="020/2">
        <w:r>
          <w:rPr>
            <w:sz w:val="20"/>
            <w:color w:val="0000ff"/>
          </w:rPr>
          <w:t xml:space="preserve">020/2</w:t>
        </w:r>
      </w:hyperlink>
      <w:r>
        <w:rPr>
          <w:sz w:val="20"/>
        </w:rP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pPr>
        <w:pStyle w:val="0"/>
        <w:spacing w:before="200" w:line-rule="auto"/>
        <w:ind w:firstLine="540"/>
        <w:jc w:val="both"/>
      </w:pPr>
      <w:r>
        <w:rPr>
          <w:sz w:val="20"/>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history="0" w:anchor="P166" w:tooltip="020/1">
        <w:r>
          <w:rPr>
            <w:sz w:val="20"/>
            <w:color w:val="0000ff"/>
          </w:rPr>
          <w:t xml:space="preserve">(строка 020/1)</w:t>
        </w:r>
      </w:hyperlink>
      <w:r>
        <w:rPr>
          <w:sz w:val="20"/>
        </w:rPr>
        <w:t xml:space="preserve">;</w:t>
      </w:r>
    </w:p>
    <w:p>
      <w:pPr>
        <w:pStyle w:val="0"/>
        <w:spacing w:before="200" w:line-rule="auto"/>
        <w:ind w:firstLine="540"/>
        <w:jc w:val="both"/>
      </w:pPr>
      <w:r>
        <w:rPr>
          <w:sz w:val="20"/>
        </w:rP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history="0" w:anchor="P169" w:tooltip="020/2">
        <w:r>
          <w:rPr>
            <w:sz w:val="20"/>
            <w:color w:val="0000ff"/>
          </w:rPr>
          <w:t xml:space="preserve">(строка 020/2)</w:t>
        </w:r>
      </w:hyperlink>
      <w:r>
        <w:rPr>
          <w:sz w:val="20"/>
        </w:rPr>
        <w:t xml:space="preserve">.</w:t>
      </w:r>
    </w:p>
    <w:p>
      <w:pPr>
        <w:pStyle w:val="0"/>
        <w:spacing w:before="200" w:line-rule="auto"/>
        <w:ind w:firstLine="540"/>
        <w:jc w:val="both"/>
      </w:pPr>
      <w:r>
        <w:rPr>
          <w:sz w:val="20"/>
        </w:rPr>
        <w:t xml:space="preserve">В </w:t>
      </w:r>
      <w:hyperlink w:history="0" w:anchor="P172" w:tooltip="021">
        <w:r>
          <w:rPr>
            <w:sz w:val="20"/>
            <w:color w:val="0000ff"/>
          </w:rPr>
          <w:t xml:space="preserve">строке 021</w:t>
        </w:r>
      </w:hyperlink>
      <w:r>
        <w:rPr>
          <w:sz w:val="20"/>
        </w:rPr>
        <w:t xml:space="preserve">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history="0" w:anchor="P162" w:tooltip="020">
        <w:r>
          <w:rPr>
            <w:sz w:val="20"/>
            <w:color w:val="0000ff"/>
          </w:rPr>
          <w:t xml:space="preserve">строки 020</w:t>
        </w:r>
      </w:hyperlink>
      <w:r>
        <w:rPr>
          <w:sz w:val="20"/>
        </w:rPr>
        <w:t xml:space="preserve">).</w:t>
      </w:r>
    </w:p>
    <w:p>
      <w:pPr>
        <w:pStyle w:val="0"/>
        <w:spacing w:before="200" w:line-rule="auto"/>
        <w:ind w:firstLine="540"/>
        <w:jc w:val="both"/>
      </w:pPr>
      <w:r>
        <w:rPr>
          <w:sz w:val="20"/>
        </w:rPr>
        <w:t xml:space="preserve">В </w:t>
      </w:r>
      <w:hyperlink w:history="0" w:anchor="P175" w:tooltip="030">
        <w:r>
          <w:rPr>
            <w:sz w:val="20"/>
            <w:color w:val="0000ff"/>
          </w:rPr>
          <w:t xml:space="preserve">строках 030</w:t>
        </w:r>
      </w:hyperlink>
      <w:r>
        <w:rPr>
          <w:sz w:val="20"/>
        </w:rPr>
        <w:t xml:space="preserve"> - </w:t>
      </w:r>
      <w:hyperlink w:history="0" w:anchor="P182" w:tooltip="032">
        <w:r>
          <w:rPr>
            <w:sz w:val="20"/>
            <w:color w:val="0000ff"/>
          </w:rPr>
          <w:t xml:space="preserve">032</w:t>
        </w:r>
      </w:hyperlink>
      <w:r>
        <w:rPr>
          <w:sz w:val="20"/>
        </w:rP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pPr>
        <w:pStyle w:val="0"/>
        <w:spacing w:before="200" w:line-rule="auto"/>
        <w:ind w:firstLine="540"/>
        <w:jc w:val="both"/>
      </w:pPr>
      <w:r>
        <w:rPr>
          <w:sz w:val="20"/>
        </w:rPr>
        <w:t xml:space="preserve">в соответствии с планом контрольных мероприятий </w:t>
      </w:r>
      <w:hyperlink w:history="0" w:anchor="P179" w:tooltip="031">
        <w:r>
          <w:rPr>
            <w:sz w:val="20"/>
            <w:color w:val="0000ff"/>
          </w:rPr>
          <w:t xml:space="preserve">(строка 031)</w:t>
        </w:r>
      </w:hyperlink>
      <w:r>
        <w:rPr>
          <w:sz w:val="20"/>
        </w:rPr>
        <w:t xml:space="preserve">;</w:t>
      </w:r>
    </w:p>
    <w:p>
      <w:pPr>
        <w:pStyle w:val="0"/>
        <w:spacing w:before="200" w:line-rule="auto"/>
        <w:ind w:firstLine="540"/>
        <w:jc w:val="both"/>
      </w:pPr>
      <w:r>
        <w:rPr>
          <w:sz w:val="20"/>
        </w:rPr>
        <w:t xml:space="preserve">внеплановые ревизии и проверки </w:t>
      </w:r>
      <w:hyperlink w:history="0" w:anchor="P182" w:tooltip="032">
        <w:r>
          <w:rPr>
            <w:sz w:val="20"/>
            <w:color w:val="0000ff"/>
          </w:rPr>
          <w:t xml:space="preserve">(строка 032)</w:t>
        </w:r>
      </w:hyperlink>
      <w:r>
        <w:rPr>
          <w:sz w:val="20"/>
        </w:rPr>
        <w:t xml:space="preserve">;</w:t>
      </w:r>
    </w:p>
    <w:p>
      <w:pPr>
        <w:pStyle w:val="0"/>
        <w:spacing w:before="200" w:line-rule="auto"/>
        <w:ind w:firstLine="540"/>
        <w:jc w:val="both"/>
      </w:pPr>
      <w:r>
        <w:rPr>
          <w:sz w:val="20"/>
        </w:rPr>
        <w:t xml:space="preserve">общее количество ревизий и проверок (</w:t>
      </w:r>
      <w:hyperlink w:history="0" w:anchor="P175" w:tooltip="030">
        <w:r>
          <w:rPr>
            <w:sz w:val="20"/>
            <w:color w:val="0000ff"/>
          </w:rPr>
          <w:t xml:space="preserve">строка 030</w:t>
        </w:r>
      </w:hyperlink>
      <w:r>
        <w:rPr>
          <w:sz w:val="20"/>
        </w:rPr>
        <w:t xml:space="preserve"> - сумма </w:t>
      </w:r>
      <w:hyperlink w:history="0" w:anchor="P179" w:tooltip="031">
        <w:r>
          <w:rPr>
            <w:sz w:val="20"/>
            <w:color w:val="0000ff"/>
          </w:rPr>
          <w:t xml:space="preserve">строк 031</w:t>
        </w:r>
      </w:hyperlink>
      <w:r>
        <w:rPr>
          <w:sz w:val="20"/>
        </w:rPr>
        <w:t xml:space="preserve"> и </w:t>
      </w:r>
      <w:hyperlink w:history="0" w:anchor="P182" w:tooltip="032">
        <w:r>
          <w:rPr>
            <w:sz w:val="20"/>
            <w:color w:val="0000ff"/>
          </w:rPr>
          <w:t xml:space="preserve">032</w:t>
        </w:r>
      </w:hyperlink>
      <w:r>
        <w:rPr>
          <w:sz w:val="20"/>
        </w:rPr>
        <w:t xml:space="preserve">).</w:t>
      </w:r>
    </w:p>
    <w:p>
      <w:pPr>
        <w:pStyle w:val="0"/>
        <w:spacing w:before="200" w:line-rule="auto"/>
        <w:ind w:firstLine="540"/>
        <w:jc w:val="both"/>
      </w:pPr>
      <w:r>
        <w:rPr>
          <w:sz w:val="20"/>
        </w:rPr>
        <w:t xml:space="preserve">В </w:t>
      </w:r>
      <w:hyperlink w:history="0" w:anchor="P175" w:tooltip="030">
        <w:r>
          <w:rPr>
            <w:sz w:val="20"/>
            <w:color w:val="0000ff"/>
          </w:rPr>
          <w:t xml:space="preserve">строку 030</w:t>
        </w:r>
      </w:hyperlink>
      <w:r>
        <w:rPr>
          <w:sz w:val="20"/>
        </w:rP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pPr>
        <w:pStyle w:val="0"/>
        <w:spacing w:before="200" w:line-rule="auto"/>
        <w:ind w:firstLine="540"/>
        <w:jc w:val="both"/>
      </w:pPr>
      <w:r>
        <w:rPr>
          <w:sz w:val="20"/>
        </w:rPr>
        <w:t xml:space="preserve">В </w:t>
      </w:r>
      <w:hyperlink w:history="0" w:anchor="P185" w:tooltip="040">
        <w:r>
          <w:rPr>
            <w:sz w:val="20"/>
            <w:color w:val="0000ff"/>
          </w:rPr>
          <w:t xml:space="preserve">строках 040</w:t>
        </w:r>
      </w:hyperlink>
      <w:r>
        <w:rPr>
          <w:sz w:val="20"/>
        </w:rPr>
        <w:t xml:space="preserve"> и </w:t>
      </w:r>
      <w:hyperlink w:history="0" w:anchor="P188" w:tooltip="041">
        <w:r>
          <w:rPr>
            <w:sz w:val="20"/>
            <w:color w:val="0000ff"/>
          </w:rPr>
          <w:t xml:space="preserve">041</w:t>
        </w:r>
      </w:hyperlink>
      <w:r>
        <w:rPr>
          <w:sz w:val="20"/>
        </w:rP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финансового контроля </w:t>
      </w:r>
      <w:hyperlink w:history="0" w:anchor="P185" w:tooltip="040">
        <w:r>
          <w:rPr>
            <w:sz w:val="20"/>
            <w:color w:val="0000ff"/>
          </w:rPr>
          <w:t xml:space="preserve">(строка 040)</w:t>
        </w:r>
      </w:hyperlink>
      <w:r>
        <w:rPr>
          <w:sz w:val="20"/>
        </w:rP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history="0" w:anchor="P188" w:tooltip="041">
        <w:r>
          <w:rPr>
            <w:sz w:val="20"/>
            <w:color w:val="0000ff"/>
          </w:rPr>
          <w:t xml:space="preserve">(строка 041)</w:t>
        </w:r>
      </w:hyperlink>
      <w:r>
        <w:rPr>
          <w:sz w:val="20"/>
        </w:rPr>
        <w:t xml:space="preserve"> (из </w:t>
      </w:r>
      <w:hyperlink w:history="0" w:anchor="P185" w:tooltip="040">
        <w:r>
          <w:rPr>
            <w:sz w:val="20"/>
            <w:color w:val="0000ff"/>
          </w:rPr>
          <w:t xml:space="preserve">строки 040</w:t>
        </w:r>
      </w:hyperlink>
      <w:r>
        <w:rPr>
          <w:sz w:val="20"/>
        </w:rPr>
        <w:t xml:space="preserve">).</w:t>
      </w:r>
    </w:p>
    <w:p>
      <w:pPr>
        <w:pStyle w:val="0"/>
        <w:spacing w:before="200" w:line-rule="auto"/>
        <w:ind w:firstLine="540"/>
        <w:jc w:val="both"/>
      </w:pPr>
      <w:r>
        <w:rPr>
          <w:sz w:val="20"/>
        </w:rPr>
        <w:t xml:space="preserve">В </w:t>
      </w:r>
      <w:hyperlink w:history="0" w:anchor="P185" w:tooltip="040">
        <w:r>
          <w:rPr>
            <w:sz w:val="20"/>
            <w:color w:val="0000ff"/>
          </w:rPr>
          <w:t xml:space="preserve">строки 040</w:t>
        </w:r>
      </w:hyperlink>
      <w:r>
        <w:rPr>
          <w:sz w:val="20"/>
        </w:rPr>
        <w:t xml:space="preserve"> и </w:t>
      </w:r>
      <w:hyperlink w:history="0" w:anchor="P188" w:tooltip="041">
        <w:r>
          <w:rPr>
            <w:sz w:val="20"/>
            <w:color w:val="0000ff"/>
          </w:rPr>
          <w:t xml:space="preserve">041</w:t>
        </w:r>
      </w:hyperlink>
      <w:r>
        <w:rPr>
          <w:sz w:val="20"/>
        </w:rP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pPr>
        <w:pStyle w:val="0"/>
        <w:spacing w:before="200" w:line-rule="auto"/>
        <w:ind w:firstLine="540"/>
        <w:jc w:val="both"/>
      </w:pPr>
      <w:r>
        <w:rPr>
          <w:sz w:val="20"/>
        </w:rPr>
        <w:t xml:space="preserve">В </w:t>
      </w:r>
      <w:hyperlink w:history="0" w:anchor="P191" w:tooltip="050">
        <w:r>
          <w:rPr>
            <w:sz w:val="20"/>
            <w:color w:val="0000ff"/>
          </w:rPr>
          <w:t xml:space="preserve">строках 050</w:t>
        </w:r>
      </w:hyperlink>
      <w:r>
        <w:rPr>
          <w:sz w:val="20"/>
        </w:rPr>
        <w:t xml:space="preserve"> и </w:t>
      </w:r>
      <w:hyperlink w:history="0" w:anchor="P194" w:tooltip="051">
        <w:r>
          <w:rPr>
            <w:sz w:val="20"/>
            <w:color w:val="0000ff"/>
          </w:rPr>
          <w:t xml:space="preserve">051</w:t>
        </w:r>
      </w:hyperlink>
      <w:r>
        <w:rPr>
          <w:sz w:val="20"/>
        </w:rP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w:t>
      </w:r>
      <w:hyperlink w:history="0" w:anchor="P191" w:tooltip="050">
        <w:r>
          <w:rPr>
            <w:sz w:val="20"/>
            <w:color w:val="0000ff"/>
          </w:rPr>
          <w:t xml:space="preserve">(строка 050)</w:t>
        </w:r>
      </w:hyperlink>
      <w:r>
        <w:rPr>
          <w:sz w:val="20"/>
        </w:rP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history="0" w:anchor="P194" w:tooltip="051">
        <w:r>
          <w:rPr>
            <w:sz w:val="20"/>
            <w:color w:val="0000ff"/>
          </w:rPr>
          <w:t xml:space="preserve">(строка 051)</w:t>
        </w:r>
      </w:hyperlink>
      <w:r>
        <w:rPr>
          <w:sz w:val="20"/>
        </w:rPr>
        <w:t xml:space="preserve"> (из </w:t>
      </w:r>
      <w:hyperlink w:history="0" w:anchor="P191" w:tooltip="050">
        <w:r>
          <w:rPr>
            <w:sz w:val="20"/>
            <w:color w:val="0000ff"/>
          </w:rPr>
          <w:t xml:space="preserve">строки 050</w:t>
        </w:r>
      </w:hyperlink>
      <w:r>
        <w:rPr>
          <w:sz w:val="20"/>
        </w:rPr>
        <w:t xml:space="preserve">).</w:t>
      </w:r>
    </w:p>
    <w:p>
      <w:pPr>
        <w:pStyle w:val="0"/>
        <w:spacing w:before="200" w:line-rule="auto"/>
        <w:ind w:firstLine="540"/>
        <w:jc w:val="both"/>
      </w:pPr>
      <w:r>
        <w:rPr>
          <w:sz w:val="20"/>
        </w:rPr>
        <w:t xml:space="preserve">В </w:t>
      </w:r>
      <w:hyperlink w:history="0" w:anchor="P191" w:tooltip="050">
        <w:r>
          <w:rPr>
            <w:sz w:val="20"/>
            <w:color w:val="0000ff"/>
          </w:rPr>
          <w:t xml:space="preserve">строки 050</w:t>
        </w:r>
      </w:hyperlink>
      <w:r>
        <w:rPr>
          <w:sz w:val="20"/>
        </w:rPr>
        <w:t xml:space="preserve"> и </w:t>
      </w:r>
      <w:hyperlink w:history="0" w:anchor="P194" w:tooltip="051">
        <w:r>
          <w:rPr>
            <w:sz w:val="20"/>
            <w:color w:val="0000ff"/>
          </w:rPr>
          <w:t xml:space="preserve">051</w:t>
        </w:r>
      </w:hyperlink>
      <w:r>
        <w:rPr>
          <w:sz w:val="20"/>
        </w:rP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pPr>
        <w:pStyle w:val="0"/>
        <w:spacing w:before="200" w:line-rule="auto"/>
        <w:ind w:firstLine="540"/>
        <w:jc w:val="both"/>
      </w:pPr>
      <w:r>
        <w:rPr>
          <w:sz w:val="20"/>
        </w:rPr>
        <w:t xml:space="preserve">В </w:t>
      </w:r>
      <w:hyperlink w:history="0" w:anchor="P197" w:tooltip="060">
        <w:r>
          <w:rPr>
            <w:sz w:val="20"/>
            <w:color w:val="0000ff"/>
          </w:rPr>
          <w:t xml:space="preserve">строках 060</w:t>
        </w:r>
      </w:hyperlink>
      <w:r>
        <w:rPr>
          <w:sz w:val="20"/>
        </w:rPr>
        <w:t xml:space="preserve"> - </w:t>
      </w:r>
      <w:hyperlink w:history="0" w:anchor="P203" w:tooltip="062">
        <w:r>
          <w:rPr>
            <w:sz w:val="20"/>
            <w:color w:val="0000ff"/>
          </w:rPr>
          <w:t xml:space="preserve">062</w:t>
        </w:r>
      </w:hyperlink>
      <w:r>
        <w:rPr>
          <w:sz w:val="20"/>
        </w:rP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(муниципальному) финансовому контролю вне рамок ревизий (проверок):</w:t>
      </w:r>
    </w:p>
    <w:p>
      <w:pPr>
        <w:pStyle w:val="0"/>
        <w:spacing w:before="200" w:line-rule="auto"/>
        <w:ind w:firstLine="540"/>
        <w:jc w:val="both"/>
      </w:pPr>
      <w:r>
        <w:rPr>
          <w:sz w:val="20"/>
        </w:rPr>
        <w:t xml:space="preserve">в соответствии с планом контрольных мероприятий </w:t>
      </w:r>
      <w:hyperlink w:history="0" w:anchor="P200" w:tooltip="061">
        <w:r>
          <w:rPr>
            <w:sz w:val="20"/>
            <w:color w:val="0000ff"/>
          </w:rPr>
          <w:t xml:space="preserve">(строка 061)</w:t>
        </w:r>
      </w:hyperlink>
      <w:r>
        <w:rPr>
          <w:sz w:val="20"/>
        </w:rPr>
        <w:t xml:space="preserve">;</w:t>
      </w:r>
    </w:p>
    <w:p>
      <w:pPr>
        <w:pStyle w:val="0"/>
        <w:spacing w:before="200" w:line-rule="auto"/>
        <w:ind w:firstLine="540"/>
        <w:jc w:val="both"/>
      </w:pPr>
      <w:r>
        <w:rPr>
          <w:sz w:val="20"/>
        </w:rPr>
        <w:t xml:space="preserve">внеплановые обследования </w:t>
      </w:r>
      <w:hyperlink w:history="0" w:anchor="P203" w:tooltip="062">
        <w:r>
          <w:rPr>
            <w:sz w:val="20"/>
            <w:color w:val="0000ff"/>
          </w:rPr>
          <w:t xml:space="preserve">(строка 062)</w:t>
        </w:r>
      </w:hyperlink>
      <w:r>
        <w:rPr>
          <w:sz w:val="20"/>
        </w:rPr>
        <w:t xml:space="preserve">;</w:t>
      </w:r>
    </w:p>
    <w:p>
      <w:pPr>
        <w:pStyle w:val="0"/>
        <w:spacing w:before="200" w:line-rule="auto"/>
        <w:ind w:firstLine="540"/>
        <w:jc w:val="both"/>
      </w:pPr>
      <w:r>
        <w:rPr>
          <w:sz w:val="20"/>
        </w:rPr>
        <w:t xml:space="preserve">общее количество обследований (</w:t>
      </w:r>
      <w:hyperlink w:history="0" w:anchor="P197" w:tooltip="060">
        <w:r>
          <w:rPr>
            <w:sz w:val="20"/>
            <w:color w:val="0000ff"/>
          </w:rPr>
          <w:t xml:space="preserve">строка 060</w:t>
        </w:r>
      </w:hyperlink>
      <w:r>
        <w:rPr>
          <w:sz w:val="20"/>
        </w:rPr>
        <w:t xml:space="preserve"> - сумма </w:t>
      </w:r>
      <w:hyperlink w:history="0" w:anchor="P200" w:tooltip="061">
        <w:r>
          <w:rPr>
            <w:sz w:val="20"/>
            <w:color w:val="0000ff"/>
          </w:rPr>
          <w:t xml:space="preserve">строк 061</w:t>
        </w:r>
      </w:hyperlink>
      <w:r>
        <w:rPr>
          <w:sz w:val="20"/>
        </w:rPr>
        <w:t xml:space="preserve"> и </w:t>
      </w:r>
      <w:hyperlink w:history="0" w:anchor="P203" w:tooltip="062">
        <w:r>
          <w:rPr>
            <w:sz w:val="20"/>
            <w:color w:val="0000ff"/>
          </w:rPr>
          <w:t xml:space="preserve">062</w:t>
        </w:r>
      </w:hyperlink>
      <w:r>
        <w:rPr>
          <w:sz w:val="20"/>
        </w:rPr>
        <w:t xml:space="preserve">).</w:t>
      </w:r>
    </w:p>
    <w:p>
      <w:pPr>
        <w:pStyle w:val="0"/>
        <w:spacing w:before="200" w:line-rule="auto"/>
        <w:ind w:firstLine="540"/>
        <w:jc w:val="both"/>
      </w:pPr>
      <w:r>
        <w:rPr>
          <w:sz w:val="20"/>
        </w:rPr>
        <w:t xml:space="preserve">8. </w:t>
      </w:r>
      <w:hyperlink w:history="0" w:anchor="P116" w:tooltip="ОТЧЕТ">
        <w:r>
          <w:rPr>
            <w:sz w:val="20"/>
            <w:color w:val="0000ff"/>
          </w:rPr>
          <w:t xml:space="preserve">Отчет</w:t>
        </w:r>
      </w:hyperlink>
      <w:r>
        <w:rPr>
          <w:sz w:val="20"/>
        </w:rPr>
        <w:t xml:space="preserve"> представляется с пояснительной запиской, включающей информацию (сведения):</w:t>
      </w:r>
    </w:p>
    <w:p>
      <w:pPr>
        <w:pStyle w:val="0"/>
        <w:spacing w:before="200" w:line-rule="auto"/>
        <w:ind w:firstLine="540"/>
        <w:jc w:val="both"/>
      </w:pPr>
      <w:r>
        <w:rPr>
          <w:sz w:val="20"/>
        </w:rPr>
        <w:t xml:space="preserve">а) об обеспеченности органа контроля трудовыми ресурсами, в том числе об общей штатной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 участие в осуществлении контрольных мероприятий;</w:t>
      </w:r>
    </w:p>
    <w:p>
      <w:pPr>
        <w:pStyle w:val="0"/>
        <w:spacing w:before="200" w:line-rule="auto"/>
        <w:ind w:firstLine="540"/>
        <w:jc w:val="both"/>
      </w:pPr>
      <w:r>
        <w:rPr>
          <w:sz w:val="20"/>
        </w:rPr>
        <w:t xml:space="preserve">б) об объеме бюджетных средств, затраченных на содержание органа контроля;</w:t>
      </w:r>
    </w:p>
    <w:p>
      <w:pPr>
        <w:pStyle w:val="0"/>
        <w:spacing w:before="200" w:line-rule="auto"/>
        <w:ind w:firstLine="540"/>
        <w:jc w:val="both"/>
      </w:pPr>
      <w:r>
        <w:rPr>
          <w:sz w:val="20"/>
        </w:rPr>
        <w:t xml:space="preserve">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pPr>
        <w:pStyle w:val="0"/>
        <w:spacing w:before="200" w:line-rule="auto"/>
        <w:ind w:firstLine="540"/>
        <w:jc w:val="both"/>
      </w:pPr>
      <w:r>
        <w:rPr>
          <w:sz w:val="20"/>
        </w:rPr>
        <w:t xml:space="preserve">г) о количестве нарушений, выявленных органом контроля;</w:t>
      </w:r>
    </w:p>
    <w:p>
      <w:pPr>
        <w:pStyle w:val="0"/>
        <w:spacing w:before="200" w:line-rule="auto"/>
        <w:ind w:firstLine="540"/>
        <w:jc w:val="both"/>
      </w:pPr>
      <w:r>
        <w:rPr>
          <w:sz w:val="20"/>
        </w:rPr>
        <w:t xml:space="preserve">д) о реализации результатов контрольных мероприятий в части:</w:t>
      </w:r>
    </w:p>
    <w:p>
      <w:pPr>
        <w:pStyle w:val="0"/>
        <w:spacing w:before="200" w:line-rule="auto"/>
        <w:ind w:firstLine="540"/>
        <w:jc w:val="both"/>
      </w:pPr>
      <w:r>
        <w:rPr>
          <w:sz w:val="20"/>
        </w:rPr>
        <w:t xml:space="preserve">направленных объектам контроля представлений и предписаний органа контроля;</w:t>
      </w:r>
    </w:p>
    <w:p>
      <w:pPr>
        <w:pStyle w:val="0"/>
        <w:spacing w:before="200" w:line-rule="auto"/>
        <w:ind w:firstLine="540"/>
        <w:jc w:val="both"/>
      </w:pPr>
      <w:r>
        <w:rPr>
          <w:sz w:val="20"/>
        </w:rPr>
        <w:t xml:space="preserve">информации, направленной органом контроля правоохранительным органам, органам прокуратуры и иным государственным (муниципальным) органам;</w:t>
      </w:r>
    </w:p>
    <w:p>
      <w:pPr>
        <w:pStyle w:val="0"/>
        <w:spacing w:before="200" w:line-rule="auto"/>
        <w:ind w:firstLine="540"/>
        <w:jc w:val="both"/>
      </w:pPr>
      <w:r>
        <w:rPr>
          <w:sz w:val="20"/>
        </w:rPr>
        <w:t xml:space="preserve">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w:t>
      </w:r>
    </w:p>
    <w:p>
      <w:pPr>
        <w:pStyle w:val="0"/>
        <w:spacing w:before="200" w:line-rule="auto"/>
        <w:ind w:firstLine="540"/>
        <w:jc w:val="both"/>
      </w:pPr>
      <w:r>
        <w:rPr>
          <w:sz w:val="20"/>
        </w:rPr>
        <w:t xml:space="preserve">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pPr>
        <w:pStyle w:val="0"/>
        <w:spacing w:before="200" w:line-rule="auto"/>
        <w:ind w:firstLine="540"/>
        <w:jc w:val="both"/>
      </w:pPr>
      <w:r>
        <w:rPr>
          <w:sz w:val="20"/>
        </w:rPr>
        <w:t xml:space="preserve">направленных органом контроля в финансовые органы (органы управления государственными внебюджетными фондами) уведомлениях о применении бюджетных мер принуждения;</w:t>
      </w:r>
    </w:p>
    <w:p>
      <w:pPr>
        <w:pStyle w:val="0"/>
        <w:spacing w:before="200" w:line-rule="auto"/>
        <w:ind w:firstLine="540"/>
        <w:jc w:val="both"/>
      </w:pPr>
      <w:r>
        <w:rPr>
          <w:sz w:val="20"/>
        </w:rPr>
        <w:t xml:space="preserve">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p>
      <w:pPr>
        <w:pStyle w:val="0"/>
        <w:spacing w:before="200" w:line-rule="auto"/>
        <w:ind w:firstLine="540"/>
        <w:jc w:val="both"/>
      </w:pPr>
      <w:r>
        <w:rPr>
          <w:sz w:val="20"/>
        </w:rPr>
        <w:t xml:space="preserve">9.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w:t>
      </w:r>
      <w:hyperlink w:history="0" w:anchor="P116" w:tooltip="ОТЧЕТ">
        <w:r>
          <w:rPr>
            <w:sz w:val="20"/>
            <w:color w:val="0000ff"/>
          </w:rPr>
          <w:t xml:space="preserve">отчете</w:t>
        </w:r>
      </w:hyperlink>
      <w:r>
        <w:rPr>
          <w:sz w:val="20"/>
        </w:rPr>
        <w:t xml:space="preserve">.</w:t>
      </w:r>
    </w:p>
    <w:p>
      <w:pPr>
        <w:pStyle w:val="0"/>
        <w:spacing w:before="200" w:line-rule="auto"/>
        <w:ind w:firstLine="540"/>
        <w:jc w:val="both"/>
      </w:pPr>
      <w:r>
        <w:rPr>
          <w:sz w:val="20"/>
        </w:rPr>
        <w:t xml:space="preserve">Министерством финансов Российской Федерации, а также ведомственным стандартом органа контроля могут быть установлены дополнительные </w:t>
      </w:r>
      <w:hyperlink w:history="0" r:id="rId14" w:tooltip="Приказ Минфина России от 11.11.2022 N 165н &quot;Об утверждении формы и порядка составления и представления отчета о результатах проведения Федеральным казначейством контрольных мероприятий в финансово-бюджетной сфере&quot; (Зарегистрировано в Минюсте России 09.12.2022 N 71435) {КонсультантПлюс}">
        <w:r>
          <w:rPr>
            <w:sz w:val="20"/>
            <w:color w:val="0000ff"/>
          </w:rPr>
          <w:t xml:space="preserve">формы</w:t>
        </w:r>
      </w:hyperlink>
      <w:r>
        <w:rPr>
          <w:sz w:val="20"/>
        </w:rPr>
        <w:t xml:space="preserve"> отчетности о результатах контрольной деятельности органа контроля, а также порядок их составления и представления.</w:t>
      </w:r>
    </w:p>
    <w:p>
      <w:pPr>
        <w:pStyle w:val="0"/>
        <w:jc w:val="both"/>
      </w:pPr>
      <w:r>
        <w:rPr>
          <w:sz w:val="20"/>
        </w:rPr>
        <w:t xml:space="preserve">(в ред. </w:t>
      </w:r>
      <w:hyperlink w:history="0" r:id="rId15"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pPr>
        <w:pStyle w:val="0"/>
        <w:jc w:val="both"/>
      </w:pPr>
      <w:r>
        <w:rPr>
          <w:sz w:val="20"/>
        </w:rPr>
      </w:r>
    </w:p>
    <w:p>
      <w:pPr>
        <w:pStyle w:val="2"/>
        <w:outlineLvl w:val="1"/>
        <w:jc w:val="center"/>
      </w:pPr>
      <w:r>
        <w:rPr>
          <w:sz w:val="20"/>
        </w:rPr>
        <w:t xml:space="preserve">III. Представление отчета о результатах контрольной</w:t>
      </w:r>
    </w:p>
    <w:p>
      <w:pPr>
        <w:pStyle w:val="2"/>
        <w:jc w:val="center"/>
      </w:pPr>
      <w:r>
        <w:rPr>
          <w:sz w:val="20"/>
        </w:rPr>
        <w:t xml:space="preserve">деятельности органа контроля и его опубликование</w:t>
      </w:r>
    </w:p>
    <w:p>
      <w:pPr>
        <w:pStyle w:val="0"/>
        <w:jc w:val="both"/>
      </w:pPr>
      <w:r>
        <w:rPr>
          <w:sz w:val="20"/>
        </w:rPr>
      </w:r>
    </w:p>
    <w:p>
      <w:pPr>
        <w:pStyle w:val="0"/>
        <w:ind w:firstLine="540"/>
        <w:jc w:val="both"/>
      </w:pPr>
      <w:r>
        <w:rPr>
          <w:sz w:val="20"/>
        </w:rPr>
        <w:t xml:space="preserve">10. </w:t>
      </w:r>
      <w:hyperlink w:history="0" w:anchor="P116" w:tooltip="ОТЧЕТ">
        <w:r>
          <w:rPr>
            <w:sz w:val="20"/>
            <w:color w:val="0000ff"/>
          </w:rPr>
          <w:t xml:space="preserve">Отчет</w:t>
        </w:r>
      </w:hyperlink>
      <w:r>
        <w:rPr>
          <w:sz w:val="20"/>
        </w:rPr>
        <w:t xml:space="preserve"> и пояснительная записка к нему представляются ежегодно, до 1 апреля года, следующего за отчетным, на бумажном носителе или в электронной форме, в том числе с применением автоматизированных информационных систем (за исключением случая, предусмотренного </w:t>
      </w:r>
      <w:hyperlink w:history="0" w:anchor="P98" w:tooltip="Отчет и пояснительная записка к нему, содержащие сведения, составляющие государственную тайну, формируются и представляются в соответствии с абзацами вторым - четвертым настоящего пункта ежегодно, до 20 апреля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
        <w:r>
          <w:rPr>
            <w:sz w:val="20"/>
            <w:color w:val="0000ff"/>
          </w:rPr>
          <w:t xml:space="preserve">абзацем пятым</w:t>
        </w:r>
      </w:hyperlink>
      <w:r>
        <w:rPr>
          <w:sz w:val="20"/>
        </w:rPr>
        <w:t xml:space="preserve"> настоящего пункта):</w:t>
      </w:r>
    </w:p>
    <w:p>
      <w:pPr>
        <w:pStyle w:val="0"/>
        <w:jc w:val="both"/>
      </w:pPr>
      <w:r>
        <w:rPr>
          <w:sz w:val="20"/>
        </w:rPr>
        <w:t xml:space="preserve">(в ред. Постановлений Правительства РФ от 21.03.2022 </w:t>
      </w:r>
      <w:hyperlink w:history="0" r:id="rId16"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rPr>
        <w:t xml:space="preserve">, от 02.03.2023 </w:t>
      </w:r>
      <w:hyperlink w:history="0" r:id="rId17"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rPr>
        <w:t xml:space="preserve">)</w:t>
      </w:r>
    </w:p>
    <w:bookmarkStart w:id="94" w:name="P94"/>
    <w:bookmarkEnd w:id="94"/>
    <w:p>
      <w:pPr>
        <w:pStyle w:val="0"/>
        <w:spacing w:before="200" w:line-rule="auto"/>
        <w:ind w:firstLine="540"/>
        <w:jc w:val="both"/>
      </w:pPr>
      <w:r>
        <w:rPr>
          <w:sz w:val="20"/>
        </w:rPr>
        <w:t xml:space="preserve">Федеральным казначейством в Министерство финансов Российской Федерации;</w:t>
      </w:r>
    </w:p>
    <w:p>
      <w:pPr>
        <w:pStyle w:val="0"/>
        <w:spacing w:before="200" w:line-rule="auto"/>
        <w:ind w:firstLine="540"/>
        <w:jc w:val="both"/>
      </w:pPr>
      <w:r>
        <w:rPr>
          <w:sz w:val="20"/>
        </w:rPr>
        <w:t xml:space="preserve">органом внутреннего государственного финансового контроля субъекта Российской Федерации высшему должностному лицу субъекта Российской Федерации (председателю высшего исполнительного органа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pPr>
        <w:pStyle w:val="0"/>
        <w:jc w:val="both"/>
      </w:pPr>
      <w:r>
        <w:rPr>
          <w:sz w:val="20"/>
        </w:rPr>
        <w:t xml:space="preserve">(в ред. </w:t>
      </w:r>
      <w:hyperlink w:history="0" r:id="rId18"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bookmarkStart w:id="97" w:name="P97"/>
    <w:bookmarkEnd w:id="97"/>
    <w:p>
      <w:pPr>
        <w:pStyle w:val="0"/>
        <w:spacing w:before="200" w:line-rule="auto"/>
        <w:ind w:firstLine="540"/>
        <w:jc w:val="both"/>
      </w:pPr>
      <w:r>
        <w:rPr>
          <w:sz w:val="20"/>
        </w:rPr>
        <w:t xml:space="preserve">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bookmarkStart w:id="98" w:name="P98"/>
    <w:bookmarkEnd w:id="98"/>
    <w:p>
      <w:pPr>
        <w:pStyle w:val="0"/>
        <w:spacing w:before="200" w:line-rule="auto"/>
        <w:ind w:firstLine="540"/>
        <w:jc w:val="both"/>
      </w:pPr>
      <w:r>
        <w:rPr>
          <w:sz w:val="20"/>
        </w:rPr>
        <w:t xml:space="preserve">Отчет и пояснительная записка к нему, содержащие сведения, составляющие государственную тайну, формируются и представляются в соответствии с </w:t>
      </w:r>
      <w:hyperlink w:history="0" w:anchor="P94" w:tooltip="Федеральным казначейством в Министерство финансов Российской Федерации;">
        <w:r>
          <w:rPr>
            <w:sz w:val="20"/>
            <w:color w:val="0000ff"/>
          </w:rPr>
          <w:t xml:space="preserve">абзацами вторым</w:t>
        </w:r>
      </w:hyperlink>
      <w:r>
        <w:rPr>
          <w:sz w:val="20"/>
        </w:rPr>
        <w:t xml:space="preserve"> - </w:t>
      </w:r>
      <w:hyperlink w:history="0" w:anchor="P97" w:tooltip="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
        <w:r>
          <w:rPr>
            <w:sz w:val="20"/>
            <w:color w:val="0000ff"/>
          </w:rPr>
          <w:t xml:space="preserve">четвертым</w:t>
        </w:r>
      </w:hyperlink>
      <w:r>
        <w:rPr>
          <w:sz w:val="20"/>
        </w:rPr>
        <w:t xml:space="preserve"> настоящего пункта ежегодно, до 20 апреля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w:t>
      </w:r>
    </w:p>
    <w:p>
      <w:pPr>
        <w:pStyle w:val="0"/>
        <w:jc w:val="both"/>
      </w:pPr>
      <w:r>
        <w:rPr>
          <w:sz w:val="20"/>
        </w:rPr>
        <w:t xml:space="preserve">(абзац введен </w:t>
      </w:r>
      <w:hyperlink w:history="0" r:id="rId1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 в ред. </w:t>
      </w:r>
      <w:hyperlink w:history="0" r:id="rId20"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11. </w:t>
      </w:r>
      <w:hyperlink w:history="0" w:anchor="P116" w:tooltip="ОТЧЕТ">
        <w:r>
          <w:rPr>
            <w:sz w:val="20"/>
            <w:color w:val="0000ff"/>
          </w:rPr>
          <w:t xml:space="preserve">Отчет</w:t>
        </w:r>
      </w:hyperlink>
      <w:r>
        <w:rPr>
          <w:sz w:val="20"/>
        </w:rP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мая года, следующего за отчетным.</w:t>
      </w:r>
    </w:p>
    <w:p>
      <w:pPr>
        <w:pStyle w:val="0"/>
        <w:jc w:val="both"/>
      </w:pPr>
      <w:r>
        <w:rPr>
          <w:sz w:val="20"/>
        </w:rPr>
        <w:t xml:space="preserve">(в ред. </w:t>
      </w:r>
      <w:hyperlink w:history="0" r:id="rId21"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федеральному стандарту внутреннего</w:t>
      </w:r>
    </w:p>
    <w:p>
      <w:pPr>
        <w:pStyle w:val="0"/>
        <w:jc w:val="right"/>
      </w:pPr>
      <w:r>
        <w:rPr>
          <w:sz w:val="20"/>
        </w:rPr>
        <w:t xml:space="preserve">государственного (муниципального)</w:t>
      </w:r>
    </w:p>
    <w:p>
      <w:pPr>
        <w:pStyle w:val="0"/>
        <w:jc w:val="right"/>
      </w:pPr>
      <w:r>
        <w:rPr>
          <w:sz w:val="20"/>
        </w:rPr>
        <w:t xml:space="preserve">финансового контроля "Правила</w:t>
      </w:r>
    </w:p>
    <w:p>
      <w:pPr>
        <w:pStyle w:val="0"/>
        <w:jc w:val="right"/>
      </w:pPr>
      <w:r>
        <w:rPr>
          <w:sz w:val="20"/>
        </w:rPr>
        <w:t xml:space="preserve">составления отчетности о результатах</w:t>
      </w:r>
    </w:p>
    <w:p>
      <w:pPr>
        <w:pStyle w:val="0"/>
        <w:jc w:val="right"/>
      </w:pPr>
      <w:r>
        <w:rPr>
          <w:sz w:val="20"/>
        </w:rPr>
        <w:t xml:space="preserve">контрольной деятельности"</w:t>
      </w:r>
    </w:p>
    <w:p>
      <w:pPr>
        <w:pStyle w:val="0"/>
        <w:jc w:val="both"/>
      </w:pPr>
      <w:r>
        <w:rPr>
          <w:sz w:val="20"/>
        </w:rPr>
      </w:r>
    </w:p>
    <w:p>
      <w:pPr>
        <w:pStyle w:val="0"/>
        <w:jc w:val="right"/>
      </w:pPr>
      <w:r>
        <w:rPr>
          <w:sz w:val="20"/>
        </w:rPr>
        <w:t xml:space="preserve">(форма)</w:t>
      </w:r>
    </w:p>
    <w:p>
      <w:pPr>
        <w:pStyle w:val="0"/>
        <w:jc w:val="both"/>
      </w:pPr>
      <w:r>
        <w:rPr>
          <w:sz w:val="20"/>
        </w:rPr>
      </w:r>
    </w:p>
    <w:bookmarkStart w:id="116" w:name="P116"/>
    <w:bookmarkEnd w:id="116"/>
    <w:p>
      <w:pPr>
        <w:pStyle w:val="0"/>
        <w:jc w:val="center"/>
      </w:pPr>
      <w:r>
        <w:rPr>
          <w:sz w:val="20"/>
        </w:rPr>
        <w:t xml:space="preserve">ОТЧЕТ</w:t>
      </w:r>
    </w:p>
    <w:p>
      <w:pPr>
        <w:pStyle w:val="0"/>
        <w:jc w:val="center"/>
      </w:pPr>
      <w:r>
        <w:rPr>
          <w:sz w:val="20"/>
        </w:rPr>
        <w:t xml:space="preserve">о результатах контрольной деятельности органа внутреннего</w:t>
      </w:r>
    </w:p>
    <w:p>
      <w:pPr>
        <w:pStyle w:val="0"/>
        <w:jc w:val="center"/>
      </w:pPr>
      <w:r>
        <w:rPr>
          <w:sz w:val="20"/>
        </w:rPr>
        <w:t xml:space="preserve">государственного (муниципального) финансового контроля</w:t>
      </w:r>
    </w:p>
    <w:p>
      <w:pPr>
        <w:pStyle w:val="0"/>
        <w:jc w:val="both"/>
      </w:pPr>
      <w:r>
        <w:rPr>
          <w:sz w:val="20"/>
        </w:rPr>
      </w:r>
    </w:p>
    <w:p>
      <w:pPr>
        <w:pStyle w:val="0"/>
        <w:jc w:val="center"/>
      </w:pPr>
      <w:r>
        <w:rPr>
          <w:sz w:val="20"/>
        </w:rPr>
        <w:t xml:space="preserve">на 1 ______________ 20__ г.</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2269"/>
        <w:gridCol w:w="3996"/>
        <w:gridCol w:w="1659"/>
        <w:gridCol w:w="1134"/>
      </w:tblGrid>
      <w:tr>
        <w:tc>
          <w:tcPr>
            <w:tcW w:w="2269" w:type="dxa"/>
            <w:tcBorders>
              <w:top w:val="nil"/>
              <w:left w:val="nil"/>
              <w:bottom w:val="nil"/>
              <w:right w:val="nil"/>
            </w:tcBorders>
          </w:tcPr>
          <w:p>
            <w:pPr>
              <w:pStyle w:val="0"/>
            </w:pPr>
            <w:r>
              <w:rPr>
                <w:sz w:val="20"/>
              </w:rPr>
            </w:r>
          </w:p>
        </w:tc>
        <w:tc>
          <w:tcPr>
            <w:tcW w:w="3996" w:type="dxa"/>
            <w:tcBorders>
              <w:top w:val="nil"/>
              <w:left w:val="nil"/>
              <w:bottom w:val="nil"/>
              <w:right w:val="nil"/>
            </w:tcBorders>
          </w:tcPr>
          <w:p>
            <w:pPr>
              <w:pStyle w:val="0"/>
            </w:pPr>
            <w:r>
              <w:rPr>
                <w:sz w:val="20"/>
              </w:rPr>
            </w:r>
          </w:p>
        </w:tc>
        <w:tc>
          <w:tcPr>
            <w:tcW w:w="1659" w:type="dxa"/>
            <w:tcBorders>
              <w:top w:val="nil"/>
              <w:left w:val="nil"/>
              <w:bottom w:val="nil"/>
              <w:right w:val="single" w:sz="4"/>
            </w:tcBorders>
          </w:tcPr>
          <w:p>
            <w:pPr>
              <w:pStyle w:val="0"/>
            </w:pPr>
            <w:r>
              <w:rPr>
                <w:sz w:val="20"/>
              </w:rPr>
            </w:r>
          </w:p>
        </w:tc>
        <w:tc>
          <w:tcPr>
            <w:tcW w:w="1134" w:type="dxa"/>
            <w:tcBorders>
              <w:top w:val="single" w:sz="4"/>
              <w:left w:val="single" w:sz="4"/>
              <w:bottom w:val="single" w:sz="4"/>
              <w:right w:val="single" w:sz="4"/>
            </w:tcBorders>
          </w:tcPr>
          <w:p>
            <w:pPr>
              <w:pStyle w:val="0"/>
              <w:jc w:val="center"/>
            </w:pPr>
            <w:r>
              <w:rPr>
                <w:sz w:val="20"/>
              </w:rPr>
              <w:t xml:space="preserve">КОДЫ</w:t>
            </w:r>
          </w:p>
        </w:tc>
      </w:tr>
      <w:tr>
        <w:tc>
          <w:tcPr>
            <w:tcW w:w="2269" w:type="dxa"/>
            <w:tcBorders>
              <w:top w:val="nil"/>
              <w:left w:val="nil"/>
              <w:bottom w:val="nil"/>
              <w:right w:val="nil"/>
            </w:tcBorders>
          </w:tcPr>
          <w:p>
            <w:pPr>
              <w:pStyle w:val="0"/>
              <w:jc w:val="both"/>
            </w:pPr>
            <w:r>
              <w:rPr>
                <w:sz w:val="20"/>
              </w:rPr>
              <w:t xml:space="preserve">Наименование органа контроля</w:t>
            </w:r>
          </w:p>
        </w:tc>
        <w:tc>
          <w:tcPr>
            <w:tcW w:w="3996" w:type="dxa"/>
            <w:tcBorders>
              <w:top w:val="nil"/>
              <w:left w:val="nil"/>
              <w:bottom w:val="single" w:sz="4"/>
              <w:right w:val="nil"/>
            </w:tcBorders>
          </w:tcPr>
          <w:p>
            <w:pPr>
              <w:pStyle w:val="0"/>
            </w:pPr>
            <w:r>
              <w:rPr>
                <w:sz w:val="20"/>
              </w:rPr>
            </w:r>
          </w:p>
        </w:tc>
        <w:tc>
          <w:tcPr>
            <w:tcW w:w="1659" w:type="dxa"/>
            <w:tcBorders>
              <w:top w:val="nil"/>
              <w:left w:val="nil"/>
              <w:bottom w:val="nil"/>
              <w:right w:val="single" w:sz="4"/>
            </w:tcBorders>
          </w:tcPr>
          <w:p>
            <w:pPr>
              <w:pStyle w:val="0"/>
              <w:jc w:val="right"/>
            </w:pPr>
            <w:r>
              <w:rPr>
                <w:sz w:val="20"/>
              </w:rPr>
              <w:t xml:space="preserve">Дата</w:t>
            </w:r>
          </w:p>
        </w:tc>
        <w:tc>
          <w:tcPr>
            <w:tcW w:w="1134" w:type="dxa"/>
            <w:tcBorders>
              <w:top w:val="single" w:sz="4"/>
              <w:left w:val="single" w:sz="4"/>
              <w:bottom w:val="single" w:sz="4"/>
              <w:right w:val="single" w:sz="4"/>
            </w:tcBorders>
          </w:tcPr>
          <w:p>
            <w:pPr>
              <w:pStyle w:val="0"/>
            </w:pPr>
            <w:r>
              <w:rPr>
                <w:sz w:val="20"/>
              </w:rPr>
            </w:r>
          </w:p>
        </w:tc>
      </w:tr>
      <w:tr>
        <w:tc>
          <w:tcPr>
            <w:gridSpan w:val="2"/>
            <w:tcW w:w="6265" w:type="dxa"/>
            <w:tcBorders>
              <w:top w:val="nil"/>
              <w:left w:val="nil"/>
              <w:bottom w:val="nil"/>
              <w:right w:val="nil"/>
            </w:tcBorders>
          </w:tcPr>
          <w:p>
            <w:pPr>
              <w:pStyle w:val="0"/>
              <w:jc w:val="both"/>
            </w:pPr>
            <w:r>
              <w:rPr>
                <w:sz w:val="20"/>
              </w:rPr>
              <w:t xml:space="preserve">Периодичность: годовая</w:t>
            </w:r>
          </w:p>
        </w:tc>
        <w:tc>
          <w:tcPr>
            <w:tcW w:w="1659" w:type="dxa"/>
            <w:vAlign w:val="center"/>
            <w:tcBorders>
              <w:top w:val="nil"/>
              <w:left w:val="nil"/>
              <w:bottom w:val="nil"/>
              <w:right w:val="single" w:sz="4"/>
            </w:tcBorders>
          </w:tcPr>
          <w:p>
            <w:pPr>
              <w:pStyle w:val="0"/>
              <w:jc w:val="right"/>
            </w:pPr>
            <w:r>
              <w:rPr>
                <w:sz w:val="20"/>
              </w:rPr>
              <w:t xml:space="preserve">по ОКПО</w:t>
            </w:r>
          </w:p>
        </w:tc>
        <w:tc>
          <w:tcPr>
            <w:tcW w:w="1134" w:type="dxa"/>
            <w:tcBorders>
              <w:top w:val="single" w:sz="4"/>
              <w:left w:val="single" w:sz="4"/>
              <w:bottom w:val="single" w:sz="4"/>
              <w:right w:val="single" w:sz="4"/>
            </w:tcBorders>
          </w:tcPr>
          <w:p>
            <w:pPr>
              <w:pStyle w:val="0"/>
            </w:pPr>
            <w:r>
              <w:rPr>
                <w:sz w:val="20"/>
              </w:rPr>
            </w:r>
          </w:p>
        </w:tc>
      </w:tr>
      <w:tr>
        <w:tc>
          <w:tcPr>
            <w:gridSpan w:val="2"/>
            <w:tcW w:w="6265" w:type="dxa"/>
            <w:tcBorders>
              <w:top w:val="nil"/>
              <w:left w:val="nil"/>
              <w:bottom w:val="nil"/>
              <w:right w:val="nil"/>
            </w:tcBorders>
          </w:tcPr>
          <w:p>
            <w:pPr>
              <w:pStyle w:val="0"/>
            </w:pPr>
            <w:r>
              <w:rPr>
                <w:sz w:val="20"/>
              </w:rPr>
            </w:r>
          </w:p>
        </w:tc>
        <w:tc>
          <w:tcPr>
            <w:tcW w:w="1659" w:type="dxa"/>
            <w:vAlign w:val="center"/>
            <w:tcBorders>
              <w:top w:val="nil"/>
              <w:left w:val="nil"/>
              <w:bottom w:val="nil"/>
              <w:right w:val="single" w:sz="4"/>
            </w:tcBorders>
          </w:tcPr>
          <w:p>
            <w:pPr>
              <w:pStyle w:val="0"/>
              <w:jc w:val="right"/>
            </w:pPr>
            <w:r>
              <w:rPr>
                <w:sz w:val="20"/>
              </w:rPr>
              <w:t xml:space="preserve">по </w:t>
            </w:r>
            <w:hyperlink w:history="0" r:id="rId2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p>
        </w:tc>
        <w:tc>
          <w:tcPr>
            <w:tcW w:w="1134" w:type="dxa"/>
            <w:tcBorders>
              <w:top w:val="single" w:sz="4"/>
              <w:left w:val="single" w:sz="4"/>
              <w:bottom w:val="single" w:sz="4"/>
              <w:right w:val="single" w:sz="4"/>
            </w:tcBorders>
          </w:tcPr>
          <w:p>
            <w:pPr>
              <w:pStyle w:val="0"/>
            </w:pPr>
            <w:r>
              <w:rPr>
                <w:sz w:val="20"/>
              </w:rPr>
            </w:r>
          </w:p>
        </w:tc>
      </w:tr>
      <w:tr>
        <w:tc>
          <w:tcPr>
            <w:tcW w:w="2269" w:type="dxa"/>
            <w:tcBorders>
              <w:top w:val="nil"/>
              <w:left w:val="nil"/>
              <w:bottom w:val="nil"/>
              <w:right w:val="nil"/>
            </w:tcBorders>
          </w:tcPr>
          <w:p>
            <w:pPr>
              <w:pStyle w:val="0"/>
            </w:pPr>
            <w:r>
              <w:rPr>
                <w:sz w:val="20"/>
              </w:rPr>
            </w:r>
          </w:p>
        </w:tc>
        <w:tc>
          <w:tcPr>
            <w:tcW w:w="3996" w:type="dxa"/>
            <w:tcBorders>
              <w:top w:val="nil"/>
              <w:left w:val="nil"/>
              <w:bottom w:val="nil"/>
              <w:right w:val="nil"/>
            </w:tcBorders>
          </w:tcPr>
          <w:p>
            <w:pPr>
              <w:pStyle w:val="0"/>
            </w:pPr>
            <w:r>
              <w:rPr>
                <w:sz w:val="20"/>
              </w:rPr>
            </w:r>
          </w:p>
        </w:tc>
        <w:tc>
          <w:tcPr>
            <w:tcW w:w="1659" w:type="dxa"/>
            <w:tcBorders>
              <w:top w:val="nil"/>
              <w:left w:val="nil"/>
              <w:bottom w:val="nil"/>
              <w:right w:val="single" w:sz="4"/>
            </w:tcBorders>
          </w:tcPr>
          <w:p>
            <w:pPr>
              <w:pStyle w:val="0"/>
            </w:pPr>
            <w:r>
              <w:rPr>
                <w:sz w:val="20"/>
              </w:rPr>
            </w:r>
          </w:p>
        </w:tc>
        <w:tc>
          <w:tcPr>
            <w:tcW w:w="1134" w:type="dxa"/>
            <w:tcBorders>
              <w:top w:val="single" w:sz="4"/>
              <w:left w:val="single" w:sz="4"/>
              <w:bottom w:val="single" w:sz="4"/>
              <w:right w:val="single" w:sz="4"/>
            </w:tcBorders>
          </w:tcPr>
          <w:p>
            <w:pPr>
              <w:pStyle w:val="0"/>
            </w:pPr>
            <w:r>
              <w:rPr>
                <w:sz w:val="20"/>
              </w:rPr>
            </w:r>
          </w:p>
        </w:tc>
      </w:tr>
      <w:tr>
        <w:tc>
          <w:tcPr>
            <w:tcW w:w="2269" w:type="dxa"/>
            <w:tcBorders>
              <w:top w:val="nil"/>
              <w:left w:val="nil"/>
              <w:bottom w:val="nil"/>
              <w:right w:val="nil"/>
            </w:tcBorders>
          </w:tcPr>
          <w:p>
            <w:pPr>
              <w:pStyle w:val="0"/>
            </w:pPr>
            <w:r>
              <w:rPr>
                <w:sz w:val="20"/>
              </w:rPr>
            </w:r>
          </w:p>
        </w:tc>
        <w:tc>
          <w:tcPr>
            <w:tcW w:w="3996" w:type="dxa"/>
            <w:tcBorders>
              <w:top w:val="nil"/>
              <w:left w:val="nil"/>
              <w:bottom w:val="nil"/>
              <w:right w:val="nil"/>
            </w:tcBorders>
          </w:tcPr>
          <w:p>
            <w:pPr>
              <w:pStyle w:val="0"/>
            </w:pPr>
            <w:r>
              <w:rPr>
                <w:sz w:val="20"/>
              </w:rPr>
            </w:r>
          </w:p>
        </w:tc>
        <w:tc>
          <w:tcPr>
            <w:tcW w:w="1659" w:type="dxa"/>
            <w:vAlign w:val="center"/>
            <w:tcBorders>
              <w:top w:val="nil"/>
              <w:left w:val="nil"/>
              <w:bottom w:val="nil"/>
              <w:right w:val="single" w:sz="4"/>
            </w:tcBorders>
          </w:tcPr>
          <w:p>
            <w:pPr>
              <w:pStyle w:val="0"/>
              <w:jc w:val="right"/>
            </w:pPr>
            <w:r>
              <w:rPr>
                <w:sz w:val="20"/>
              </w:rPr>
              <w:t xml:space="preserve">по ОКЕИ</w:t>
            </w:r>
          </w:p>
        </w:tc>
        <w:tc>
          <w:tcPr>
            <w:tcW w:w="1134" w:type="dxa"/>
            <w:tcBorders>
              <w:top w:val="single" w:sz="4"/>
              <w:left w:val="single" w:sz="4"/>
              <w:bottom w:val="single" w:sz="4"/>
              <w:right w:val="single" w:sz="4"/>
            </w:tcBorders>
          </w:tcPr>
          <w:p>
            <w:pPr>
              <w:pStyle w:val="0"/>
              <w:jc w:val="center"/>
            </w:pPr>
            <w:hyperlink w:history="0" r:id="rId23" w:tooltip="&quot;ОК 015-94 (МК 002-97). Общероссийский классификатор единиц измерения&quot; (утв. Постановлением Госстандарта России от 26.12.1994 N 366) (ред. от 29.03.2024) {КонсультантПлюс}">
              <w:r>
                <w:rPr>
                  <w:sz w:val="20"/>
                  <w:color w:val="0000ff"/>
                </w:rPr>
                <w:t xml:space="preserve">384</w:t>
              </w:r>
            </w:hyperlink>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6345"/>
        <w:gridCol w:w="1191"/>
        <w:gridCol w:w="1474"/>
      </w:tblGrid>
      <w:tr>
        <w:tblPrEx>
          <w:tblBorders>
            <w:insideV w:val="single" w:sz="4"/>
            <w:insideH w:val="single" w:sz="4"/>
          </w:tblBorders>
        </w:tblPrEx>
        <w:tc>
          <w:tcPr>
            <w:tcW w:w="6345" w:type="dxa"/>
            <w:tcBorders>
              <w:top w:val="single" w:sz="4"/>
              <w:left w:val="nil"/>
              <w:bottom w:val="single" w:sz="4"/>
            </w:tcBorders>
          </w:tcPr>
          <w:p>
            <w:pPr>
              <w:pStyle w:val="0"/>
              <w:jc w:val="center"/>
            </w:pPr>
            <w:r>
              <w:rPr>
                <w:sz w:val="20"/>
              </w:rPr>
              <w:t xml:space="preserve">Наименование показателя</w:t>
            </w:r>
          </w:p>
        </w:tc>
        <w:tc>
          <w:tcPr>
            <w:tcW w:w="1191" w:type="dxa"/>
            <w:tcBorders>
              <w:top w:val="single" w:sz="4"/>
              <w:bottom w:val="single" w:sz="4"/>
            </w:tcBorders>
          </w:tcPr>
          <w:p>
            <w:pPr>
              <w:pStyle w:val="0"/>
              <w:jc w:val="center"/>
            </w:pPr>
            <w:r>
              <w:rPr>
                <w:sz w:val="20"/>
              </w:rPr>
              <w:t xml:space="preserve">Код строки</w:t>
            </w:r>
          </w:p>
        </w:tc>
        <w:tc>
          <w:tcPr>
            <w:tcW w:w="1474" w:type="dxa"/>
            <w:tcBorders>
              <w:top w:val="single" w:sz="4"/>
              <w:bottom w:val="single" w:sz="4"/>
              <w:right w:val="nil"/>
            </w:tcBorders>
          </w:tcPr>
          <w:p>
            <w:pPr>
              <w:pStyle w:val="0"/>
              <w:jc w:val="center"/>
            </w:pPr>
            <w:r>
              <w:rPr>
                <w:sz w:val="20"/>
              </w:rPr>
              <w:t xml:space="preserve">Значение показателя</w:t>
            </w:r>
          </w:p>
        </w:tc>
      </w:tr>
      <w:tr>
        <w:tc>
          <w:tcPr>
            <w:tcW w:w="6345" w:type="dxa"/>
            <w:tcBorders>
              <w:top w:val="single" w:sz="4"/>
              <w:left w:val="nil"/>
              <w:bottom w:val="nil"/>
              <w:right w:val="nil"/>
            </w:tcBorders>
          </w:tcPr>
          <w:p>
            <w:pPr>
              <w:pStyle w:val="0"/>
            </w:pPr>
            <w:r>
              <w:rPr>
                <w:sz w:val="20"/>
              </w:rPr>
              <w:t xml:space="preserve">Объем проверенных средств при осуществлении внутреннего государственного (муниципального) финансового контроля, тыс. рублей</w:t>
            </w:r>
          </w:p>
        </w:tc>
        <w:tc>
          <w:tcPr>
            <w:tcW w:w="1191" w:type="dxa"/>
            <w:tcBorders>
              <w:top w:val="single" w:sz="4"/>
              <w:left w:val="nil"/>
              <w:bottom w:val="nil"/>
              <w:right w:val="nil"/>
            </w:tcBorders>
          </w:tcPr>
          <w:bookmarkStart w:id="149" w:name="P149"/>
          <w:bookmarkEnd w:id="149"/>
          <w:p>
            <w:pPr>
              <w:pStyle w:val="0"/>
              <w:jc w:val="center"/>
            </w:pPr>
            <w:r>
              <w:rPr>
                <w:sz w:val="20"/>
              </w:rPr>
              <w:t xml:space="preserve">010</w:t>
            </w:r>
          </w:p>
        </w:tc>
        <w:tc>
          <w:tcPr>
            <w:tcW w:w="1474" w:type="dxa"/>
            <w:tcBorders>
              <w:top w:val="single" w:sz="4"/>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из них:</w:t>
            </w:r>
          </w:p>
          <w:p>
            <w:pPr>
              <w:pStyle w:val="0"/>
              <w:ind w:left="283"/>
            </w:pPr>
            <w:r>
              <w:rPr>
                <w:sz w:val="20"/>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bookmarkStart w:id="153" w:name="P153"/>
          <w:bookmarkEnd w:id="153"/>
          <w:p>
            <w:pPr>
              <w:pStyle w:val="0"/>
              <w:jc w:val="center"/>
            </w:pPr>
            <w:r>
              <w:rPr>
                <w:sz w:val="20"/>
              </w:rPr>
              <w:t xml:space="preserve">010/1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bookmarkStart w:id="156" w:name="P156"/>
          <w:bookmarkEnd w:id="156"/>
          <w:p>
            <w:pPr>
              <w:pStyle w:val="0"/>
              <w:jc w:val="center"/>
            </w:pPr>
            <w:r>
              <w:rPr>
                <w:sz w:val="20"/>
              </w:rPr>
              <w:t xml:space="preserve">010/2</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Объем проверенных средств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history="0" w:anchor="P149" w:tooltip="010">
              <w:r>
                <w:rPr>
                  <w:sz w:val="20"/>
                  <w:color w:val="0000ff"/>
                </w:rPr>
                <w:t xml:space="preserve">строки 010</w:t>
              </w:r>
            </w:hyperlink>
            <w:r>
              <w:rPr>
                <w:sz w:val="20"/>
              </w:rPr>
              <w:t xml:space="preserve">)</w:t>
            </w:r>
          </w:p>
        </w:tc>
        <w:tc>
          <w:tcPr>
            <w:tcW w:w="1191" w:type="dxa"/>
            <w:tcBorders>
              <w:top w:val="nil"/>
              <w:left w:val="nil"/>
              <w:bottom w:val="nil"/>
              <w:right w:val="nil"/>
            </w:tcBorders>
          </w:tcPr>
          <w:bookmarkStart w:id="159" w:name="P159"/>
          <w:bookmarkEnd w:id="159"/>
          <w:p>
            <w:pPr>
              <w:pStyle w:val="0"/>
              <w:jc w:val="center"/>
            </w:pPr>
            <w:r>
              <w:rPr>
                <w:sz w:val="20"/>
              </w:rPr>
              <w:t xml:space="preserve">011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Выявлено нарушений при осуществлении внутреннего государственного (муниципального) финансового контроля на сумму, тыс. рублей</w:t>
            </w:r>
          </w:p>
        </w:tc>
        <w:tc>
          <w:tcPr>
            <w:tcW w:w="1191" w:type="dxa"/>
            <w:tcBorders>
              <w:top w:val="nil"/>
              <w:left w:val="nil"/>
              <w:bottom w:val="nil"/>
              <w:right w:val="nil"/>
            </w:tcBorders>
          </w:tcPr>
          <w:bookmarkStart w:id="162" w:name="P162"/>
          <w:bookmarkEnd w:id="162"/>
          <w:p>
            <w:pPr>
              <w:pStyle w:val="0"/>
              <w:jc w:val="center"/>
            </w:pPr>
            <w:r>
              <w:rPr>
                <w:sz w:val="20"/>
              </w:rPr>
              <w:t xml:space="preserve">020</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из них:</w:t>
            </w:r>
          </w:p>
          <w:p>
            <w:pPr>
              <w:pStyle w:val="0"/>
              <w:ind w:left="283"/>
            </w:pPr>
            <w:r>
              <w:rPr>
                <w:sz w:val="20"/>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bookmarkStart w:id="166" w:name="P166"/>
          <w:bookmarkEnd w:id="166"/>
          <w:p>
            <w:pPr>
              <w:pStyle w:val="0"/>
              <w:jc w:val="center"/>
            </w:pPr>
            <w:r>
              <w:rPr>
                <w:sz w:val="20"/>
              </w:rPr>
              <w:t xml:space="preserve">020/1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bookmarkStart w:id="169" w:name="P169"/>
          <w:bookmarkEnd w:id="169"/>
          <w:p>
            <w:pPr>
              <w:pStyle w:val="0"/>
              <w:jc w:val="center"/>
            </w:pPr>
            <w:r>
              <w:rPr>
                <w:sz w:val="20"/>
              </w:rPr>
              <w:t xml:space="preserve">020/2</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history="0" w:anchor="P162" w:tooltip="020">
              <w:r>
                <w:rPr>
                  <w:sz w:val="20"/>
                  <w:color w:val="0000ff"/>
                </w:rPr>
                <w:t xml:space="preserve">строки 020</w:t>
              </w:r>
            </w:hyperlink>
            <w:r>
              <w:rPr>
                <w:sz w:val="20"/>
              </w:rPr>
              <w:t xml:space="preserve">)</w:t>
            </w:r>
          </w:p>
        </w:tc>
        <w:tc>
          <w:tcPr>
            <w:tcW w:w="1191" w:type="dxa"/>
            <w:tcBorders>
              <w:top w:val="nil"/>
              <w:left w:val="nil"/>
              <w:bottom w:val="nil"/>
              <w:right w:val="nil"/>
            </w:tcBorders>
          </w:tcPr>
          <w:bookmarkStart w:id="172" w:name="P172"/>
          <w:bookmarkEnd w:id="172"/>
          <w:p>
            <w:pPr>
              <w:pStyle w:val="0"/>
              <w:jc w:val="center"/>
            </w:pPr>
            <w:r>
              <w:rPr>
                <w:sz w:val="20"/>
              </w:rPr>
              <w:t xml:space="preserve">021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bookmarkStart w:id="175" w:name="P175"/>
          <w:bookmarkEnd w:id="175"/>
          <w:p>
            <w:pPr>
              <w:pStyle w:val="0"/>
              <w:jc w:val="center"/>
            </w:pPr>
            <w:r>
              <w:rPr>
                <w:sz w:val="20"/>
              </w:rPr>
              <w:t xml:space="preserve">030</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в соответствии с планом контрольных мероприятий</w:t>
            </w:r>
          </w:p>
        </w:tc>
        <w:tc>
          <w:tcPr>
            <w:tcW w:w="1191" w:type="dxa"/>
            <w:tcBorders>
              <w:top w:val="nil"/>
              <w:left w:val="nil"/>
              <w:bottom w:val="nil"/>
              <w:right w:val="nil"/>
            </w:tcBorders>
          </w:tcPr>
          <w:bookmarkStart w:id="179" w:name="P179"/>
          <w:bookmarkEnd w:id="179"/>
          <w:p>
            <w:pPr>
              <w:pStyle w:val="0"/>
              <w:jc w:val="center"/>
            </w:pPr>
            <w:r>
              <w:rPr>
                <w:sz w:val="20"/>
              </w:rPr>
              <w:t xml:space="preserve">031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внеплановые ревизии и проверки</w:t>
            </w:r>
          </w:p>
        </w:tc>
        <w:tc>
          <w:tcPr>
            <w:tcW w:w="1191" w:type="dxa"/>
            <w:tcBorders>
              <w:top w:val="nil"/>
              <w:left w:val="nil"/>
              <w:bottom w:val="nil"/>
              <w:right w:val="nil"/>
            </w:tcBorders>
          </w:tcPr>
          <w:bookmarkStart w:id="182" w:name="P182"/>
          <w:bookmarkEnd w:id="182"/>
          <w:p>
            <w:pPr>
              <w:pStyle w:val="0"/>
              <w:jc w:val="center"/>
            </w:pPr>
            <w:r>
              <w:rPr>
                <w:sz w:val="20"/>
              </w:rPr>
              <w:t xml:space="preserve">032</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bookmarkStart w:id="185" w:name="P185"/>
          <w:bookmarkEnd w:id="185"/>
          <w:p>
            <w:pPr>
              <w:pStyle w:val="0"/>
              <w:jc w:val="center"/>
            </w:pPr>
            <w:r>
              <w:rPr>
                <w:sz w:val="20"/>
              </w:rPr>
              <w:t xml:space="preserve">040</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history="0" w:anchor="P185" w:tooltip="040">
              <w:r>
                <w:rPr>
                  <w:sz w:val="20"/>
                  <w:color w:val="0000ff"/>
                </w:rPr>
                <w:t xml:space="preserve">строки 040</w:t>
              </w:r>
            </w:hyperlink>
            <w:r>
              <w:rPr>
                <w:sz w:val="20"/>
              </w:rPr>
              <w:t xml:space="preserve">)</w:t>
            </w:r>
          </w:p>
        </w:tc>
        <w:tc>
          <w:tcPr>
            <w:tcW w:w="1191" w:type="dxa"/>
            <w:tcBorders>
              <w:top w:val="nil"/>
              <w:left w:val="nil"/>
              <w:bottom w:val="nil"/>
              <w:right w:val="nil"/>
            </w:tcBorders>
          </w:tcPr>
          <w:bookmarkStart w:id="188" w:name="P188"/>
          <w:bookmarkEnd w:id="188"/>
          <w:p>
            <w:pPr>
              <w:pStyle w:val="0"/>
              <w:jc w:val="center"/>
            </w:pPr>
            <w:r>
              <w:rPr>
                <w:sz w:val="20"/>
              </w:rPr>
              <w:t xml:space="preserve">041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bookmarkStart w:id="191" w:name="P191"/>
          <w:bookmarkEnd w:id="191"/>
          <w:p>
            <w:pPr>
              <w:pStyle w:val="0"/>
              <w:jc w:val="center"/>
            </w:pPr>
            <w:r>
              <w:rPr>
                <w:sz w:val="20"/>
              </w:rPr>
              <w:t xml:space="preserve">050</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history="0" w:anchor="P191" w:tooltip="050">
              <w:r>
                <w:rPr>
                  <w:sz w:val="20"/>
                  <w:color w:val="0000ff"/>
                </w:rPr>
                <w:t xml:space="preserve">строки 050</w:t>
              </w:r>
            </w:hyperlink>
            <w:r>
              <w:rPr>
                <w:sz w:val="20"/>
              </w:rPr>
              <w:t xml:space="preserve">)</w:t>
            </w:r>
          </w:p>
        </w:tc>
        <w:tc>
          <w:tcPr>
            <w:tcW w:w="1191" w:type="dxa"/>
            <w:tcBorders>
              <w:top w:val="nil"/>
              <w:left w:val="nil"/>
              <w:bottom w:val="nil"/>
              <w:right w:val="nil"/>
            </w:tcBorders>
          </w:tcPr>
          <w:bookmarkStart w:id="194" w:name="P194"/>
          <w:bookmarkEnd w:id="194"/>
          <w:p>
            <w:pPr>
              <w:pStyle w:val="0"/>
              <w:jc w:val="center"/>
            </w:pPr>
            <w:r>
              <w:rPr>
                <w:sz w:val="20"/>
              </w:rPr>
              <w:t xml:space="preserve">051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bookmarkStart w:id="197" w:name="P197"/>
          <w:bookmarkEnd w:id="197"/>
          <w:p>
            <w:pPr>
              <w:pStyle w:val="0"/>
              <w:jc w:val="center"/>
            </w:pPr>
            <w:r>
              <w:rPr>
                <w:sz w:val="20"/>
              </w:rPr>
              <w:t xml:space="preserve">060</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ind w:left="283"/>
            </w:pPr>
            <w:r>
              <w:rPr>
                <w:sz w:val="20"/>
              </w:rPr>
              <w:t xml:space="preserve">в том числе в соответствии с планом контрольных мероприятий</w:t>
            </w:r>
          </w:p>
        </w:tc>
        <w:tc>
          <w:tcPr>
            <w:tcW w:w="1191" w:type="dxa"/>
            <w:tcBorders>
              <w:top w:val="nil"/>
              <w:left w:val="nil"/>
              <w:bottom w:val="nil"/>
              <w:right w:val="nil"/>
            </w:tcBorders>
          </w:tcPr>
          <w:bookmarkStart w:id="200" w:name="P200"/>
          <w:bookmarkEnd w:id="200"/>
          <w:p>
            <w:pPr>
              <w:pStyle w:val="0"/>
              <w:jc w:val="center"/>
            </w:pPr>
            <w:r>
              <w:rPr>
                <w:sz w:val="20"/>
              </w:rPr>
              <w:t xml:space="preserve">061</w:t>
            </w:r>
          </w:p>
        </w:tc>
        <w:tc>
          <w:tcPr>
            <w:tcW w:w="1474" w:type="dxa"/>
            <w:tcBorders>
              <w:top w:val="nil"/>
              <w:left w:val="nil"/>
              <w:bottom w:val="nil"/>
              <w:right w:val="nil"/>
            </w:tcBorders>
          </w:tcPr>
          <w:p>
            <w:pPr>
              <w:pStyle w:val="0"/>
            </w:pPr>
            <w:r>
              <w:rPr>
                <w:sz w:val="20"/>
              </w:rPr>
            </w:r>
          </w:p>
        </w:tc>
      </w:tr>
      <w:tr>
        <w:tc>
          <w:tcPr>
            <w:tcW w:w="6345" w:type="dxa"/>
            <w:tcBorders>
              <w:top w:val="nil"/>
              <w:left w:val="nil"/>
              <w:bottom w:val="nil"/>
              <w:right w:val="nil"/>
            </w:tcBorders>
          </w:tcPr>
          <w:p>
            <w:pPr>
              <w:pStyle w:val="0"/>
            </w:pPr>
            <w:r>
              <w:rPr>
                <w:sz w:val="20"/>
              </w:rPr>
              <w:t xml:space="preserve">внеплановые обследования</w:t>
            </w:r>
          </w:p>
        </w:tc>
        <w:tc>
          <w:tcPr>
            <w:tcW w:w="1191" w:type="dxa"/>
            <w:tcBorders>
              <w:top w:val="nil"/>
              <w:left w:val="nil"/>
              <w:bottom w:val="nil"/>
              <w:right w:val="nil"/>
            </w:tcBorders>
          </w:tcPr>
          <w:bookmarkStart w:id="203" w:name="P203"/>
          <w:bookmarkEnd w:id="203"/>
          <w:p>
            <w:pPr>
              <w:pStyle w:val="0"/>
              <w:jc w:val="center"/>
            </w:pPr>
            <w:r>
              <w:rPr>
                <w:sz w:val="20"/>
              </w:rPr>
              <w:t xml:space="preserve">062</w:t>
            </w:r>
          </w:p>
        </w:tc>
        <w:tc>
          <w:tcPr>
            <w:tcW w:w="1474"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09"/>
        <w:gridCol w:w="340"/>
        <w:gridCol w:w="1336"/>
        <w:gridCol w:w="340"/>
        <w:gridCol w:w="2665"/>
      </w:tblGrid>
      <w:tr>
        <w:tc>
          <w:tcPr>
            <w:tcW w:w="4309" w:type="dxa"/>
            <w:tcBorders>
              <w:top w:val="nil"/>
              <w:left w:val="nil"/>
              <w:bottom w:val="nil"/>
              <w:right w:val="nil"/>
            </w:tcBorders>
          </w:tcPr>
          <w:p>
            <w:pPr>
              <w:pStyle w:val="0"/>
              <w:jc w:val="both"/>
            </w:pPr>
            <w:r>
              <w:rPr>
                <w:sz w:val="20"/>
              </w:rPr>
              <w:t xml:space="preserve">Руководитель органа контроля</w:t>
            </w:r>
          </w:p>
          <w:p>
            <w:pPr>
              <w:pStyle w:val="0"/>
              <w:jc w:val="both"/>
            </w:pPr>
            <w:r>
              <w:rPr>
                <w:sz w:val="20"/>
              </w:rPr>
              <w:t xml:space="preserve">(уполномоченное лицо органа контроля)</w:t>
            </w:r>
          </w:p>
        </w:tc>
        <w:tc>
          <w:tcPr>
            <w:tcW w:w="340" w:type="dxa"/>
            <w:tcBorders>
              <w:top w:val="nil"/>
              <w:left w:val="nil"/>
              <w:bottom w:val="nil"/>
              <w:right w:val="nil"/>
            </w:tcBorders>
          </w:tcPr>
          <w:p>
            <w:pPr>
              <w:pStyle w:val="0"/>
            </w:pPr>
            <w:r>
              <w:rPr>
                <w:sz w:val="20"/>
              </w:rPr>
            </w:r>
          </w:p>
        </w:tc>
        <w:tc>
          <w:tcPr>
            <w:tcW w:w="133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65" w:type="dxa"/>
            <w:tcBorders>
              <w:top w:val="nil"/>
              <w:left w:val="nil"/>
              <w:bottom w:val="single" w:sz="4"/>
              <w:right w:val="nil"/>
            </w:tcBorders>
          </w:tcPr>
          <w:p>
            <w:pPr>
              <w:pStyle w:val="0"/>
            </w:pPr>
            <w:r>
              <w:rPr>
                <w:sz w:val="20"/>
              </w:rPr>
            </w:r>
          </w:p>
        </w:tc>
      </w:tr>
      <w:tr>
        <w:tc>
          <w:tcPr>
            <w:tcW w:w="43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33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16.09.2020 N 1478</w:t>
            <w:br/>
            <w:t>(ред. от 02.03.2023)</w:t>
            <w:br/>
            <w:t>"Об утверждении федерального стандарта внутренн...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2271&amp;dst=100095" TargetMode = "External"/>
	<Relationship Id="rId8" Type="http://schemas.openxmlformats.org/officeDocument/2006/relationships/hyperlink" Target="https://login.consultant.ru/link/?req=doc&amp;base=LAW&amp;n=482333&amp;dst=100188" TargetMode = "External"/>
	<Relationship Id="rId9" Type="http://schemas.openxmlformats.org/officeDocument/2006/relationships/hyperlink" Target="https://login.consultant.ru/link/?req=doc&amp;base=LAW&amp;n=440971&amp;dst=100028" TargetMode = "External"/>
	<Relationship Id="rId10" Type="http://schemas.openxmlformats.org/officeDocument/2006/relationships/hyperlink" Target="https://login.consultant.ru/link/?req=doc&amp;base=LAW&amp;n=469774&amp;dst=5803" TargetMode = "External"/>
	<Relationship Id="rId11" Type="http://schemas.openxmlformats.org/officeDocument/2006/relationships/hyperlink" Target="https://login.consultant.ru/link/?req=doc&amp;base=LAW&amp;n=412271&amp;dst=100095" TargetMode = "External"/>
	<Relationship Id="rId12" Type="http://schemas.openxmlformats.org/officeDocument/2006/relationships/hyperlink" Target="https://login.consultant.ru/link/?req=doc&amp;base=LAW&amp;n=482333&amp;dst=100188" TargetMode = "External"/>
	<Relationship Id="rId13" Type="http://schemas.openxmlformats.org/officeDocument/2006/relationships/hyperlink" Target="https://login.consultant.ru/link/?req=doc&amp;base=LAW&amp;n=440971&amp;dst=100028" TargetMode = "External"/>
	<Relationship Id="rId14" Type="http://schemas.openxmlformats.org/officeDocument/2006/relationships/hyperlink" Target="https://login.consultant.ru/link/?req=doc&amp;base=LAW&amp;n=433975&amp;dst=100016" TargetMode = "External"/>
	<Relationship Id="rId15" Type="http://schemas.openxmlformats.org/officeDocument/2006/relationships/hyperlink" Target="https://login.consultant.ru/link/?req=doc&amp;base=LAW&amp;n=440971&amp;dst=100029" TargetMode = "External"/>
	<Relationship Id="rId16" Type="http://schemas.openxmlformats.org/officeDocument/2006/relationships/hyperlink" Target="https://login.consultant.ru/link/?req=doc&amp;base=LAW&amp;n=412271&amp;dst=100096" TargetMode = "External"/>
	<Relationship Id="rId17" Type="http://schemas.openxmlformats.org/officeDocument/2006/relationships/hyperlink" Target="https://login.consultant.ru/link/?req=doc&amp;base=LAW&amp;n=440971&amp;dst=100030" TargetMode = "External"/>
	<Relationship Id="rId18" Type="http://schemas.openxmlformats.org/officeDocument/2006/relationships/hyperlink" Target="https://login.consultant.ru/link/?req=doc&amp;base=LAW&amp;n=482333&amp;dst=100188" TargetMode = "External"/>
	<Relationship Id="rId19" Type="http://schemas.openxmlformats.org/officeDocument/2006/relationships/hyperlink" Target="https://login.consultant.ru/link/?req=doc&amp;base=LAW&amp;n=412271&amp;dst=100099" TargetMode = "External"/>
	<Relationship Id="rId20" Type="http://schemas.openxmlformats.org/officeDocument/2006/relationships/hyperlink" Target="https://login.consultant.ru/link/?req=doc&amp;base=LAW&amp;n=440971&amp;dst=100030" TargetMode = "External"/>
	<Relationship Id="rId21" Type="http://schemas.openxmlformats.org/officeDocument/2006/relationships/hyperlink" Target="https://login.consultant.ru/link/?req=doc&amp;base=LAW&amp;n=440971&amp;dst=100031" TargetMode = "External"/>
	<Relationship Id="rId22" Type="http://schemas.openxmlformats.org/officeDocument/2006/relationships/hyperlink" Target="https://login.consultant.ru/link/?req=doc&amp;base=LAW&amp;n=149911" TargetMode = "External"/>
	<Relationship Id="rId23" Type="http://schemas.openxmlformats.org/officeDocument/2006/relationships/hyperlink" Target="https://login.consultant.ru/link/?req=doc&amp;base=LAW&amp;n=482062&amp;dst=1019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16.09.2020 N 1478
(ред. от 02.03.2023)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dc:title>
  <dcterms:created xsi:type="dcterms:W3CDTF">2024-10-07T07:00:17Z</dcterms:created>
</cp:coreProperties>
</file>