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304" w:firstLine="1068"/>
        <w:jc w:val="right"/>
      </w:pPr>
      <w:r>
        <w:t xml:space="preserve">У</w:t>
      </w:r>
      <w:r>
        <w:t xml:space="preserve">ТВЕРЖД</w:t>
      </w:r>
      <w:r>
        <w:t xml:space="preserve">ЕН</w:t>
      </w:r>
      <w:r/>
    </w:p>
    <w:p>
      <w:pPr>
        <w:ind w:left="6300"/>
        <w:jc w:val="center"/>
      </w:pPr>
      <w:r>
        <w:t xml:space="preserve">                                                                                       на заседании </w:t>
      </w:r>
      <w:r>
        <w:t xml:space="preserve">м</w:t>
      </w:r>
      <w:r>
        <w:t xml:space="preserve">ежведомственной комиссии</w:t>
      </w:r>
      <w:r/>
    </w:p>
    <w:p>
      <w:pPr>
        <w:ind w:left="6300"/>
        <w:jc w:val="right"/>
      </w:pPr>
      <w:r>
        <w:t xml:space="preserve">по профилактике правонарушений</w:t>
      </w:r>
      <w:r/>
    </w:p>
    <w:p>
      <w:pPr>
        <w:ind w:left="6300"/>
        <w:jc w:val="right"/>
      </w:pPr>
      <w:r>
        <w:t xml:space="preserve">муниципального образования </w:t>
      </w:r>
      <w:r>
        <w:t xml:space="preserve">Кожевниковский</w:t>
      </w:r>
      <w:r>
        <w:t xml:space="preserve"> район</w:t>
      </w:r>
      <w:r>
        <w:t xml:space="preserve"> </w:t>
      </w:r>
      <w:r>
        <w:t xml:space="preserve"> </w:t>
      </w:r>
      <w:r/>
    </w:p>
    <w:p>
      <w:pPr>
        <w:jc w:val="right"/>
      </w:pPr>
      <w:r>
        <w:t xml:space="preserve">                                                                                      </w:t>
      </w:r>
      <w:r>
        <w:t xml:space="preserve">                            </w:t>
      </w:r>
      <w:r>
        <w:t xml:space="preserve"> 10</w:t>
      </w:r>
      <w:r>
        <w:t xml:space="preserve">.12</w:t>
      </w:r>
      <w:r>
        <w:t xml:space="preserve">.2021г.,  протокол № 19-13/</w:t>
      </w:r>
      <w:r>
        <w:t xml:space="preserve">20</w:t>
      </w:r>
      <w:r/>
    </w:p>
    <w:p>
      <w:pPr>
        <w:ind w:left="5304" w:firstLine="1068"/>
        <w:jc w:val="right"/>
        <w:rPr>
          <w:b/>
        </w:rPr>
      </w:pPr>
      <w:r>
        <w:t xml:space="preserve">         </w:t>
      </w:r>
      <w:r/>
    </w:p>
    <w:p>
      <w:pPr>
        <w:jc w:val="center"/>
        <w:rPr>
          <w:b/>
        </w:rPr>
      </w:pPr>
      <w:r>
        <w:rPr>
          <w:b/>
        </w:rPr>
        <w:t xml:space="preserve">П</w:t>
      </w:r>
      <w:r>
        <w:rPr>
          <w:b/>
        </w:rPr>
        <w:t xml:space="preserve">ЛАН РАБОТЫ</w:t>
      </w:r>
      <w:r/>
    </w:p>
    <w:p>
      <w:pPr>
        <w:jc w:val="center"/>
        <w:rPr>
          <w:b/>
        </w:rPr>
      </w:pPr>
      <w:r>
        <w:t xml:space="preserve">  </w:t>
      </w:r>
      <w:r>
        <w:rPr>
          <w:b/>
        </w:rPr>
        <w:t xml:space="preserve">межведомственной комиссии по профилактике правонарушений </w:t>
      </w:r>
      <w:r/>
    </w:p>
    <w:p>
      <w:pPr>
        <w:jc w:val="center"/>
        <w:rPr>
          <w:b/>
        </w:rPr>
      </w:pPr>
      <w:r>
        <w:rPr>
          <w:b/>
        </w:rPr>
        <w:t xml:space="preserve">муниципального образования </w:t>
      </w:r>
      <w:r>
        <w:rPr>
          <w:b/>
        </w:rPr>
        <w:t xml:space="preserve">Кожевниковск</w:t>
      </w:r>
      <w:r>
        <w:rPr>
          <w:b/>
        </w:rPr>
        <w:t xml:space="preserve">ий</w:t>
      </w:r>
      <w:r>
        <w:rPr>
          <w:b/>
        </w:rPr>
        <w:t xml:space="preserve"> район</w:t>
      </w:r>
      <w:r>
        <w:rPr>
          <w:b/>
        </w:rPr>
        <w:t xml:space="preserve"> на 2022</w:t>
      </w:r>
      <w:r>
        <w:rPr>
          <w:b/>
        </w:rPr>
        <w:t xml:space="preserve"> год.</w:t>
      </w:r>
      <w:r/>
    </w:p>
    <w:p>
      <w:pPr>
        <w:jc w:val="center"/>
      </w:pPr>
      <w:r/>
      <w:r/>
    </w:p>
    <w:tbl>
      <w:tblPr>
        <w:tblStyle w:val="642"/>
        <w:tblW w:w="0" w:type="auto"/>
        <w:tblInd w:w="720" w:type="dxa"/>
        <w:tblLook w:val="04A0" w:firstRow="1" w:lastRow="0" w:firstColumn="1" w:lastColumn="0" w:noHBand="0" w:noVBand="1"/>
      </w:tblPr>
      <w:tblGrid>
        <w:gridCol w:w="636"/>
        <w:gridCol w:w="8505"/>
        <w:gridCol w:w="3261"/>
        <w:gridCol w:w="3260"/>
      </w:tblGrid>
      <w:tr>
        <w:trPr>
          <w:trHeight w:val="925"/>
        </w:trPr>
        <w:tc>
          <w:tcPr>
            <w:tcW w:w="636" w:type="dxa"/>
            <w:textDirection w:val="lrTb"/>
            <w:noWrap w:val="false"/>
          </w:tcPr>
          <w:p>
            <w:pPr>
              <w:jc w:val="both"/>
            </w:pPr>
            <w:r>
              <w:t xml:space="preserve">№</w:t>
            </w:r>
            <w:r/>
          </w:p>
        </w:tc>
        <w:tc>
          <w:tcPr>
            <w:tcW w:w="8505" w:type="dxa"/>
            <w:textDirection w:val="lrTb"/>
            <w:noWrap w:val="false"/>
          </w:tcPr>
          <w:p>
            <w:pPr>
              <w:jc w:val="both"/>
            </w:pPr>
            <w:r/>
            <w:r/>
          </w:p>
          <w:p>
            <w:pPr>
              <w:jc w:val="both"/>
            </w:pPr>
            <w:r>
              <w:t xml:space="preserve">Наименование мероприятия</w:t>
            </w:r>
            <w:r/>
          </w:p>
          <w:p>
            <w:pPr>
              <w:jc w:val="both"/>
            </w:pPr>
            <w:r/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Срок исполнения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</w:pPr>
            <w:r/>
            <w:r/>
          </w:p>
          <w:p>
            <w:pPr>
              <w:jc w:val="both"/>
            </w:pPr>
            <w:r>
              <w:t xml:space="preserve">Ответственные исполнители</w:t>
            </w:r>
            <w:r/>
          </w:p>
        </w:tc>
      </w:tr>
      <w:tr>
        <w:trPr/>
        <w:tc>
          <w:tcPr>
            <w:gridSpan w:val="4"/>
            <w:tcW w:w="15662" w:type="dxa"/>
            <w:textDirection w:val="lrTb"/>
            <w:noWrap w:val="false"/>
          </w:tcPr>
          <w:p>
            <w:pPr>
              <w:pStyle w:val="648"/>
              <w:ind w:left="900"/>
              <w:jc w:val="both"/>
            </w:pPr>
            <w:r/>
            <w:r/>
          </w:p>
          <w:p>
            <w:pPr>
              <w:pStyle w:val="648"/>
              <w:numPr>
                <w:ilvl w:val="0"/>
                <w:numId w:val="6"/>
              </w:numPr>
              <w:jc w:val="both"/>
            </w:pPr>
            <w:r>
              <w:t xml:space="preserve">Общие организационные мероприятия работы </w:t>
            </w:r>
            <w:r>
              <w:t xml:space="preserve">межведомственной </w:t>
            </w:r>
            <w:r>
              <w:t xml:space="preserve">комиссии</w:t>
            </w:r>
            <w:r>
              <w:t xml:space="preserve"> по профилактике правонарушений </w:t>
            </w:r>
            <w:r>
              <w:t xml:space="preserve">Кожевниковского</w:t>
            </w:r>
            <w:r>
              <w:t xml:space="preserve"> района</w:t>
            </w:r>
            <w:r/>
          </w:p>
          <w:p>
            <w:pPr>
              <w:pStyle w:val="648"/>
              <w:ind w:left="900"/>
              <w:jc w:val="both"/>
            </w:pPr>
            <w:r/>
            <w:r/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jc w:val="both"/>
            </w:pPr>
            <w:r>
              <w:t xml:space="preserve">1.1</w:t>
            </w:r>
            <w:r/>
          </w:p>
        </w:tc>
        <w:tc>
          <w:tcPr>
            <w:tcW w:w="8505" w:type="dxa"/>
            <w:textDirection w:val="lrTb"/>
            <w:noWrap w:val="false"/>
          </w:tcPr>
          <w:p>
            <w:pPr>
              <w:jc w:val="both"/>
            </w:pPr>
            <w:r>
              <w:t xml:space="preserve">Организация и проведение заседаний комиссии</w:t>
            </w:r>
            <w:r>
              <w:t xml:space="preserve">.</w:t>
            </w:r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jc w:val="both"/>
            </w:pPr>
            <w:r>
              <w:t xml:space="preserve">февраль</w:t>
            </w:r>
            <w:r>
              <w:t xml:space="preserve"> – 1 квартал</w:t>
            </w:r>
            <w:r>
              <w:t xml:space="preserve">,</w:t>
            </w:r>
            <w:r>
              <w:t xml:space="preserve"> </w:t>
            </w:r>
            <w:r/>
          </w:p>
          <w:p>
            <w:pPr>
              <w:jc w:val="both"/>
            </w:pPr>
            <w:r>
              <w:t xml:space="preserve">май</w:t>
            </w:r>
            <w:r>
              <w:t xml:space="preserve"> –</w:t>
            </w:r>
            <w:r>
              <w:t xml:space="preserve"> 2</w:t>
            </w:r>
            <w:r>
              <w:t xml:space="preserve"> квартал;</w:t>
            </w:r>
            <w:r>
              <w:t xml:space="preserve"> </w:t>
            </w:r>
            <w:r/>
          </w:p>
          <w:p>
            <w:pPr>
              <w:jc w:val="both"/>
            </w:pPr>
            <w:r>
              <w:t xml:space="preserve">август</w:t>
            </w:r>
            <w:r>
              <w:t xml:space="preserve"> – </w:t>
            </w:r>
            <w:r>
              <w:t xml:space="preserve">3</w:t>
            </w:r>
            <w:r>
              <w:t xml:space="preserve"> квартал;</w:t>
            </w:r>
            <w:r/>
          </w:p>
          <w:p>
            <w:pPr>
              <w:jc w:val="both"/>
            </w:pPr>
            <w:r>
              <w:t xml:space="preserve">декабря</w:t>
            </w:r>
            <w:r>
              <w:t xml:space="preserve"> – 4 квартал.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</w:pPr>
            <w:r>
              <w:t xml:space="preserve">Секретарь, председатель комиссии</w:t>
            </w:r>
            <w:r/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jc w:val="both"/>
            </w:pPr>
            <w:r>
              <w:t xml:space="preserve">1.2</w:t>
            </w:r>
            <w:r/>
          </w:p>
        </w:tc>
        <w:tc>
          <w:tcPr>
            <w:tcW w:w="8505" w:type="dxa"/>
            <w:textDirection w:val="lrTb"/>
            <w:noWrap w:val="false"/>
          </w:tcPr>
          <w:p>
            <w:pPr>
              <w:jc w:val="both"/>
            </w:pPr>
            <w:r>
              <w:t xml:space="preserve">Информирование о деятельности комиссии на официальном сайте органов местного самоуправления, в районной газете «Знамя Труда»</w:t>
            </w:r>
            <w:r>
              <w:t xml:space="preserve">.</w:t>
            </w:r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jc w:val="center"/>
            </w:pPr>
            <w:r>
              <w:t xml:space="preserve">Е</w:t>
            </w:r>
            <w:r>
              <w:t xml:space="preserve">жеквартально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</w:pPr>
            <w:r>
              <w:t xml:space="preserve">Секретарь комиссии</w:t>
            </w:r>
            <w:r/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jc w:val="both"/>
            </w:pPr>
            <w:r>
              <w:t xml:space="preserve">1.3</w:t>
            </w:r>
            <w:r/>
          </w:p>
        </w:tc>
        <w:tc>
          <w:tcPr>
            <w:tcW w:w="8505" w:type="dxa"/>
            <w:textDirection w:val="lrTb"/>
            <w:noWrap w:val="false"/>
          </w:tcPr>
          <w:p>
            <w:pPr>
              <w:jc w:val="both"/>
            </w:pPr>
            <w:r>
              <w:t xml:space="preserve">Доведение решений комиссии до органов и учреждений </w:t>
            </w:r>
            <w:r>
              <w:t xml:space="preserve">системы </w:t>
            </w:r>
            <w:r>
              <w:t xml:space="preserve">профилактики, органов местного самоуправления</w:t>
            </w:r>
            <w:r>
              <w:t xml:space="preserve">.</w:t>
            </w:r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jc w:val="center"/>
            </w:pPr>
            <w:r>
              <w:t xml:space="preserve">Е</w:t>
            </w:r>
            <w:r>
              <w:t xml:space="preserve">жеквартально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</w:pPr>
            <w:r>
              <w:t xml:space="preserve">Секретарь комиссии</w:t>
            </w:r>
            <w:r/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jc w:val="both"/>
            </w:pPr>
            <w:r>
              <w:t xml:space="preserve">1.4</w:t>
            </w:r>
            <w:r/>
          </w:p>
        </w:tc>
        <w:tc>
          <w:tcPr>
            <w:tcW w:w="8505" w:type="dxa"/>
            <w:textDirection w:val="lrTb"/>
            <w:noWrap w:val="false"/>
          </w:tcPr>
          <w:p>
            <w:pPr>
              <w:jc w:val="both"/>
            </w:pPr>
            <w:r>
              <w:t xml:space="preserve">Организация контроля исполнения решений комиссии</w:t>
            </w:r>
            <w:r>
              <w:t xml:space="preserve">.</w:t>
            </w:r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Е</w:t>
            </w:r>
            <w:r>
              <w:t xml:space="preserve">жеквартально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</w:pPr>
            <w:r>
              <w:t xml:space="preserve">Секретарь комиссии, органы и учреждения </w:t>
            </w:r>
            <w:r>
              <w:t xml:space="preserve">системы </w:t>
            </w:r>
            <w:r>
              <w:t xml:space="preserve">профилактики</w:t>
            </w:r>
            <w:r>
              <w:t xml:space="preserve">, органы местного самоуправления</w:t>
            </w:r>
            <w:r/>
          </w:p>
        </w:tc>
      </w:tr>
      <w:tr>
        <w:trPr/>
        <w:tc>
          <w:tcPr>
            <w:tcW w:w="636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t xml:space="preserve">1.5</w:t>
            </w:r>
            <w:r/>
          </w:p>
        </w:tc>
        <w:tc>
          <w:tcPr>
            <w:tcW w:w="8505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t xml:space="preserve">Профилактическая работа через средства массовой информации</w:t>
            </w:r>
            <w:r/>
          </w:p>
        </w:tc>
        <w:tc>
          <w:tcPr>
            <w:tcW w:w="3261" w:type="dxa"/>
            <w:vMerge w:val="restart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Е</w:t>
            </w:r>
            <w:r>
              <w:t xml:space="preserve">жеквартально</w:t>
            </w:r>
            <w:r/>
          </w:p>
          <w:p>
            <w:pPr>
              <w:jc w:val="center"/>
            </w:pPr>
            <w:r/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t xml:space="preserve">органы и учреждения </w:t>
            </w:r>
            <w:r>
              <w:t xml:space="preserve">системы </w:t>
            </w:r>
            <w:r>
              <w:t xml:space="preserve">профилактики</w:t>
            </w:r>
            <w:r>
              <w:t xml:space="preserve">,</w:t>
            </w:r>
            <w:r/>
          </w:p>
        </w:tc>
      </w:tr>
      <w:tr>
        <w:trPr/>
        <w:tc>
          <w:tcPr>
            <w:gridSpan w:val="4"/>
            <w:tcW w:w="15662" w:type="dxa"/>
            <w:textDirection w:val="lrTb"/>
            <w:noWrap w:val="false"/>
          </w:tcPr>
          <w:p>
            <w:pPr>
              <w:pStyle w:val="648"/>
              <w:ind w:left="900"/>
              <w:jc w:val="both"/>
            </w:pPr>
            <w:r/>
            <w:r/>
          </w:p>
          <w:p>
            <w:pPr>
              <w:pStyle w:val="648"/>
              <w:numPr>
                <w:ilvl w:val="0"/>
                <w:numId w:val="6"/>
              </w:numPr>
              <w:jc w:val="both"/>
            </w:pPr>
            <w:r>
              <w:t xml:space="preserve">Вопросы для рассмотрения на заседаниях межведомственной комиссии по профилактике правонарушений </w:t>
            </w:r>
            <w:r>
              <w:t xml:space="preserve">Кожевниковского</w:t>
            </w:r>
            <w:r>
              <w:t xml:space="preserve"> района</w:t>
            </w:r>
            <w:r/>
          </w:p>
          <w:p>
            <w:pPr>
              <w:jc w:val="both"/>
            </w:pPr>
            <w:r/>
            <w:r/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jc w:val="both"/>
            </w:pPr>
            <w:r>
              <w:t xml:space="preserve">2.1</w:t>
            </w:r>
            <w:r/>
          </w:p>
        </w:tc>
        <w:tc>
          <w:tcPr>
            <w:tcW w:w="8505" w:type="dxa"/>
            <w:textDirection w:val="lrTb"/>
            <w:noWrap w:val="false"/>
          </w:tcPr>
          <w:p>
            <w:pPr>
              <w:jc w:val="both"/>
            </w:pPr>
            <w:r>
              <w:t xml:space="preserve">О результатах оперативно-служебной деятельности ОМВД России по </w:t>
            </w:r>
            <w:r>
              <w:t xml:space="preserve">Кожевниковскому</w:t>
            </w:r>
            <w:r>
              <w:t xml:space="preserve"> району за 2021</w:t>
            </w:r>
            <w:r>
              <w:t xml:space="preserve"> год и основных направлениях работы в 2022</w:t>
            </w:r>
            <w:r>
              <w:t xml:space="preserve"> году</w:t>
            </w:r>
            <w:r>
              <w:t xml:space="preserve">.</w:t>
            </w:r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1 квартал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</w:pPr>
            <w:r>
              <w:t xml:space="preserve">ОМВД России по </w:t>
            </w:r>
            <w:r>
              <w:t xml:space="preserve">Кожевниковскому</w:t>
            </w:r>
            <w:r>
              <w:t xml:space="preserve"> району</w:t>
            </w:r>
            <w:r/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jc w:val="both"/>
            </w:pPr>
            <w:r>
              <w:t xml:space="preserve">2.2</w:t>
            </w:r>
            <w:r/>
          </w:p>
        </w:tc>
        <w:tc>
          <w:tcPr>
            <w:tcW w:w="8505" w:type="dxa"/>
            <w:textDirection w:val="lrTb"/>
            <w:noWrap w:val="false"/>
          </w:tcPr>
          <w:p>
            <w:pPr>
              <w:jc w:val="both"/>
              <w:shd w:val="clear" w:fill="FFFFFF" w:color="FFFFFF"/>
              <w:rPr>
                <w:color w:val="000000"/>
              </w:rPr>
            </w:pPr>
            <w:r>
              <w:rPr>
                <w:color w:val="000000"/>
              </w:rPr>
              <w:t xml:space="preserve">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принимаемых мерах по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предупреждению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преступлений,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совершенных на улицах и иных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общественных местах, эффективности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участия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представителей</w:t>
            </w:r>
            <w:r>
              <w:rPr>
                <w:color w:val="000000"/>
              </w:rPr>
            </w:r>
            <w:r/>
          </w:p>
          <w:p>
            <w:pPr>
              <w:jc w:val="both"/>
              <w:shd w:val="clear" w:fill="FFFFFF" w:color="FFFFFF"/>
              <w:rPr>
                <w:color w:val="000000"/>
              </w:rPr>
            </w:pPr>
            <w:r>
              <w:rPr>
                <w:color w:val="000000"/>
              </w:rPr>
              <w:t xml:space="preserve">н</w:t>
            </w:r>
            <w:r>
              <w:rPr>
                <w:color w:val="000000"/>
              </w:rPr>
              <w:t xml:space="preserve">ародных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дружин в поддержании правопорядка</w:t>
            </w:r>
            <w:r>
              <w:rPr>
                <w:color w:val="000000"/>
              </w:rPr>
            </w:r>
            <w:r/>
          </w:p>
          <w:p>
            <w:pPr>
              <w:jc w:val="both"/>
            </w:pPr>
            <w:r/>
            <w:r/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jc w:val="center"/>
            </w:pPr>
            <w:r/>
            <w:r/>
            <w:r/>
          </w:p>
          <w:p>
            <w:pPr>
              <w:jc w:val="center"/>
            </w:pPr>
            <w:r>
              <w:t xml:space="preserve">1 квартал</w:t>
            </w:r>
            <w:r/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</w:pPr>
            <w:r>
              <w:t xml:space="preserve">ОМВД России по </w:t>
            </w:r>
            <w:r>
              <w:t xml:space="preserve">Кожевниковскому</w:t>
            </w:r>
            <w:r>
              <w:t xml:space="preserve"> району, Главы сельских поселений</w:t>
            </w:r>
            <w:r/>
            <w:r/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jc w:val="both"/>
            </w:pPr>
            <w:r>
              <w:t xml:space="preserve">2.3</w:t>
            </w:r>
            <w:r/>
          </w:p>
        </w:tc>
        <w:tc>
          <w:tcPr>
            <w:tcW w:w="8505" w:type="dxa"/>
            <w:textDirection w:val="lrTb"/>
            <w:noWrap w:val="false"/>
          </w:tcPr>
          <w:p>
            <w:pPr>
              <w:jc w:val="both"/>
            </w:pPr>
            <w:r>
              <w:t xml:space="preserve">О </w:t>
            </w:r>
            <w:r>
              <w:t xml:space="preserve">деятельности по оказанию содействия молодежи, а также несовершеннолетним в реализации прав на свободу творчества, осуществлении культурной деятельности, занятиях физической культуры, спортом, </w:t>
            </w:r>
            <w:r>
              <w:t xml:space="preserve">развитии досуга. </w:t>
            </w:r>
            <w:r/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jc w:val="center"/>
            </w:pPr>
            <w:r/>
            <w:r/>
            <w:r/>
          </w:p>
          <w:p>
            <w:pPr>
              <w:jc w:val="center"/>
            </w:pPr>
            <w:r>
              <w:t xml:space="preserve">1 квартал</w:t>
            </w:r>
            <w:r/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</w:pPr>
            <w:r>
              <w:t xml:space="preserve">Отдел по культуре, спорту, молодежной политике и связям с общественностью Администрации </w:t>
            </w:r>
            <w:r>
              <w:t xml:space="preserve">Кожевниковского</w:t>
            </w:r>
            <w:r>
              <w:t xml:space="preserve"> района</w:t>
            </w:r>
            <w:r/>
            <w:r/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jc w:val="both"/>
            </w:pPr>
            <w:r>
              <w:t xml:space="preserve">2.</w:t>
            </w:r>
            <w:r>
              <w:t xml:space="preserve">4</w:t>
            </w:r>
            <w:r/>
          </w:p>
        </w:tc>
        <w:tc>
          <w:tcPr>
            <w:tcW w:w="8505" w:type="dxa"/>
            <w:textDirection w:val="lrTb"/>
            <w:noWrap w:val="false"/>
          </w:tcPr>
          <w:p>
            <w:pPr>
              <w:jc w:val="both"/>
            </w:pPr>
            <w:r>
              <w:t xml:space="preserve">О результатах межведомственного взаимодействия субъектов профилактики по вопросам организации работы с лицами, прибывшими на постоянное место жительства из учреждений, исполняющих наказания.</w:t>
            </w:r>
            <w:r/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jc w:val="center"/>
            </w:pPr>
            <w:r/>
            <w:r/>
            <w:r/>
          </w:p>
          <w:p>
            <w:pPr>
              <w:jc w:val="center"/>
            </w:pPr>
            <w:r/>
            <w:r/>
            <w:r/>
          </w:p>
          <w:p>
            <w:pPr>
              <w:jc w:val="center"/>
            </w:pPr>
            <w:r/>
            <w:r/>
            <w:r/>
          </w:p>
          <w:p>
            <w:pPr>
              <w:jc w:val="center"/>
            </w:pPr>
            <w:r>
              <w:t xml:space="preserve">2 квартал</w:t>
            </w:r>
            <w:r/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</w:pPr>
            <w:r>
              <w:t xml:space="preserve">ОГКУ «Центр занятости населения </w:t>
            </w:r>
            <w:r>
              <w:t xml:space="preserve">Кожевниковского</w:t>
            </w:r>
            <w:r>
              <w:t xml:space="preserve"> района»,</w:t>
            </w:r>
            <w:r/>
            <w:r/>
          </w:p>
          <w:p>
            <w:pPr>
              <w:jc w:val="both"/>
            </w:pPr>
            <w:r>
              <w:t xml:space="preserve">ОГКУ «Центр социальной поддержки населения </w:t>
            </w:r>
            <w:r>
              <w:t xml:space="preserve">Кожевниковского</w:t>
            </w:r>
            <w:r>
              <w:t xml:space="preserve"> района», ОМВД по Кожевниковскому району</w:t>
            </w:r>
            <w:r/>
            <w:r/>
          </w:p>
        </w:tc>
      </w:tr>
      <w:tr>
        <w:trPr>
          <w:trHeight w:val="527"/>
        </w:trPr>
        <w:tc>
          <w:tcPr>
            <w:tcW w:w="636" w:type="dxa"/>
            <w:textDirection w:val="lrTb"/>
            <w:noWrap w:val="false"/>
          </w:tcPr>
          <w:p>
            <w:pPr>
              <w:jc w:val="both"/>
            </w:pPr>
            <w:r>
              <w:t xml:space="preserve">2.</w:t>
            </w:r>
            <w:r>
              <w:t xml:space="preserve">5</w:t>
            </w:r>
            <w:r/>
          </w:p>
        </w:tc>
        <w:tc>
          <w:tcPr>
            <w:tcW w:w="8505" w:type="dxa"/>
            <w:textDirection w:val="lrTb"/>
            <w:noWrap w:val="false"/>
          </w:tcPr>
          <w:p>
            <w:pPr>
              <w:jc w:val="both"/>
            </w:pPr>
            <w:r>
              <w:t xml:space="preserve">О принимаемых мерах органами опеки и попечительства по защите законных прав и интересов несовершеннолетних</w:t>
            </w:r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2 квартал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</w:pPr>
            <w:r>
              <w:t xml:space="preserve">Отдел опеки и попечительства Администрации </w:t>
            </w:r>
            <w:r>
              <w:t xml:space="preserve">Кожевниковского</w:t>
            </w:r>
            <w:r>
              <w:t xml:space="preserve"> района</w:t>
            </w:r>
            <w:r/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jc w:val="both"/>
            </w:pPr>
            <w:r>
              <w:t xml:space="preserve">2.</w:t>
            </w:r>
            <w:r>
              <w:t xml:space="preserve">6</w:t>
            </w:r>
            <w:r/>
          </w:p>
        </w:tc>
        <w:tc>
          <w:tcPr>
            <w:tcW w:w="8505" w:type="dxa"/>
            <w:textDirection w:val="lrTb"/>
            <w:noWrap w:val="false"/>
          </w:tcPr>
          <w:p>
            <w:pPr>
              <w:jc w:val="both"/>
            </w:pPr>
            <w:r>
              <w:t xml:space="preserve">О принятых</w:t>
            </w:r>
            <w:r>
              <w:t xml:space="preserve"> мерах по организации отдыха и трудоустройства несовершеннолетних, состоящих на учетах в органах субъектов профилактики, в летний период 2022 года. </w:t>
            </w:r>
            <w:r/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jc w:val="left"/>
            </w:pPr>
            <w:r/>
            <w:r/>
            <w:r/>
          </w:p>
          <w:p>
            <w:pPr>
              <w:jc w:val="center"/>
            </w:pPr>
            <w:r/>
            <w:r/>
            <w:r/>
          </w:p>
          <w:p>
            <w:pPr>
              <w:jc w:val="center"/>
            </w:pPr>
            <w:r>
              <w:t xml:space="preserve">3 квартал</w:t>
            </w:r>
            <w:r/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</w:pPr>
            <w:r>
              <w:t xml:space="preserve">ОГКУ «Центр занятости </w:t>
            </w:r>
            <w:r>
              <w:t xml:space="preserve">населения </w:t>
            </w:r>
            <w:r>
              <w:t xml:space="preserve">Кожевниковского</w:t>
            </w:r>
            <w:r>
              <w:t xml:space="preserve"> района»</w:t>
            </w:r>
            <w:r>
              <w:t xml:space="preserve">,</w:t>
            </w:r>
            <w:r>
              <w:t xml:space="preserve">Отдел образования </w:t>
            </w:r>
            <w:r>
              <w:t xml:space="preserve">Кожевниковского</w:t>
            </w:r>
            <w:r>
              <w:t xml:space="preserve"> района</w:t>
            </w:r>
            <w:r>
              <w:t xml:space="preserve">, КДН и ЗП Кожевниковского района</w:t>
            </w:r>
            <w:r/>
            <w:r/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jc w:val="both"/>
            </w:pPr>
            <w:r>
              <w:t xml:space="preserve">2.</w:t>
            </w:r>
            <w:r>
              <w:t xml:space="preserve">7</w:t>
            </w:r>
            <w:r/>
          </w:p>
        </w:tc>
        <w:tc>
          <w:tcPr>
            <w:tcW w:w="8505" w:type="dxa"/>
            <w:textDirection w:val="lrTb"/>
            <w:noWrap w:val="false"/>
          </w:tcPr>
          <w:p>
            <w:pPr>
              <w:jc w:val="both"/>
            </w:pPr>
            <w:r>
              <w:t xml:space="preserve">О принимаемых мерах органами образования, направленных на формирование законопослушного</w:t>
            </w:r>
            <w:r>
              <w:t xml:space="preserve"> поведения несовершеннолетних, на воспитание нравственных традиций, формирование толерантного сознания, профилактику ксенофобии, национальной и религиозной нетерпимости</w:t>
            </w:r>
            <w:r>
              <w:t xml:space="preserve"> </w:t>
            </w:r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3 квартал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</w:pPr>
            <w:r>
              <w:t xml:space="preserve">Отдел образования</w:t>
            </w:r>
            <w:r>
              <w:t xml:space="preserve"> </w:t>
            </w:r>
            <w:r>
              <w:t xml:space="preserve">Кожевниковского</w:t>
            </w:r>
            <w:r>
              <w:t xml:space="preserve"> района </w:t>
            </w:r>
            <w:r/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jc w:val="both"/>
            </w:pPr>
            <w:r>
              <w:t xml:space="preserve">2.</w:t>
            </w:r>
            <w:r>
              <w:t xml:space="preserve">8</w:t>
            </w:r>
            <w:r/>
          </w:p>
        </w:tc>
        <w:tc>
          <w:tcPr>
            <w:tcW w:w="8505" w:type="dxa"/>
            <w:textDirection w:val="lrTb"/>
            <w:noWrap w:val="false"/>
          </w:tcPr>
          <w:p>
            <w:pPr>
              <w:jc w:val="both"/>
            </w:pPr>
            <w:r>
              <w:t xml:space="preserve">О </w:t>
            </w:r>
            <w:r>
              <w:t xml:space="preserve">проводимой информационной политике в сфере профилактики преступлений, связанных с мошенничеством с использованием сети Интернет и мобильной связи.</w:t>
            </w:r>
            <w:r/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jc w:val="center"/>
            </w:pPr>
            <w:r/>
            <w:r/>
            <w:r/>
          </w:p>
          <w:p>
            <w:pPr>
              <w:jc w:val="center"/>
            </w:pPr>
            <w:r>
              <w:t xml:space="preserve">3 квартал</w:t>
            </w:r>
            <w:r/>
            <w:r/>
          </w:p>
          <w:p>
            <w:r/>
            <w:r/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</w:pPr>
            <w:r>
              <w:t xml:space="preserve">ОМВД России по </w:t>
            </w:r>
            <w:r>
              <w:t xml:space="preserve">Кожевниковскому</w:t>
            </w:r>
            <w:r>
              <w:t xml:space="preserve"> району</w:t>
            </w:r>
            <w:r/>
            <w:r/>
          </w:p>
          <w:p>
            <w:r/>
            <w:r/>
            <w:r/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jc w:val="both"/>
            </w:pPr>
            <w:r>
              <w:t xml:space="preserve">2.9</w:t>
            </w:r>
            <w:r/>
          </w:p>
        </w:tc>
        <w:tc>
          <w:tcPr>
            <w:tcW w:w="8505" w:type="dxa"/>
            <w:textDirection w:val="lrTb"/>
            <w:noWrap w:val="false"/>
          </w:tcPr>
          <w:p>
            <w:r>
              <w:t xml:space="preserve">Об итогах деятельности комиссии по делам несовершеннолетних и защите их прав за 2022</w:t>
            </w:r>
            <w:r>
              <w:t xml:space="preserve"> год. </w:t>
            </w:r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jc w:val="center"/>
            </w:pPr>
            <w:r>
              <w:t xml:space="preserve">4 квартал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r>
              <w:t xml:space="preserve">КДН и ЗП Кожевниковского района</w:t>
            </w:r>
            <w:r/>
          </w:p>
        </w:tc>
      </w:tr>
      <w:tr>
        <w:trPr>
          <w:trHeight w:val="866"/>
        </w:trPr>
        <w:tc>
          <w:tcPr>
            <w:tcW w:w="636" w:type="dxa"/>
            <w:textDirection w:val="lrTb"/>
            <w:noWrap w:val="false"/>
          </w:tcPr>
          <w:p>
            <w:pPr>
              <w:jc w:val="both"/>
            </w:pPr>
            <w:r>
              <w:t xml:space="preserve">2.1</w:t>
            </w:r>
            <w:r>
              <w:t xml:space="preserve">0</w:t>
            </w:r>
            <w:r/>
          </w:p>
        </w:tc>
        <w:tc>
          <w:tcPr>
            <w:tcW w:w="8505" w:type="dxa"/>
            <w:textDirection w:val="lrTb"/>
            <w:noWrap w:val="false"/>
          </w:tcPr>
          <w:p>
            <w:pPr>
              <w:jc w:val="both"/>
            </w:pPr>
            <w:r>
              <w:t xml:space="preserve">О проводимой работе по пресечению незаконного оборота алкогольной и спиртосодержащей продукции на территории</w:t>
            </w:r>
            <w:r>
              <w:t xml:space="preserve"> </w:t>
            </w:r>
            <w:r>
              <w:t xml:space="preserve">Кожевниковского</w:t>
            </w:r>
            <w:r>
              <w:t xml:space="preserve"> рай</w:t>
            </w:r>
            <w:r>
              <w:t xml:space="preserve">о</w:t>
            </w:r>
            <w:r>
              <w:t xml:space="preserve">на</w:t>
            </w:r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4 квартал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</w:pPr>
            <w:r>
              <w:t xml:space="preserve">ОМВД России по </w:t>
            </w:r>
            <w:r>
              <w:t xml:space="preserve">Кожевниковскому</w:t>
            </w:r>
            <w:r>
              <w:t xml:space="preserve"> район</w:t>
            </w:r>
            <w:r/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jc w:val="both"/>
            </w:pPr>
            <w:r>
              <w:t xml:space="preserve">2.</w:t>
            </w:r>
            <w:r>
              <w:t xml:space="preserve">1</w:t>
            </w:r>
            <w:r>
              <w:t xml:space="preserve">1</w:t>
            </w:r>
            <w:r/>
          </w:p>
        </w:tc>
        <w:tc>
          <w:tcPr>
            <w:tcW w:w="8505" w:type="dxa"/>
            <w:textDirection w:val="lrTb"/>
            <w:noWrap w:val="false"/>
          </w:tcPr>
          <w:p>
            <w:pPr>
              <w:jc w:val="both"/>
            </w:pPr>
            <w:r>
              <w:t xml:space="preserve">Об</w:t>
            </w:r>
            <w:r>
              <w:t xml:space="preserve"> </w:t>
            </w:r>
            <w:r>
              <w:t xml:space="preserve">утверждений</w:t>
            </w:r>
            <w:r>
              <w:t xml:space="preserve"> плана работы </w:t>
            </w:r>
            <w:r>
              <w:t xml:space="preserve">комиссии </w:t>
            </w:r>
            <w:r>
              <w:t xml:space="preserve">на 2023</w:t>
            </w:r>
            <w:r>
              <w:t xml:space="preserve"> год</w:t>
            </w:r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jc w:val="center"/>
            </w:pPr>
            <w:r>
              <w:t xml:space="preserve">4 квартал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</w:pPr>
            <w:r>
              <w:t xml:space="preserve">Председатель комиссии</w:t>
            </w:r>
            <w:r/>
          </w:p>
        </w:tc>
      </w:tr>
    </w:tbl>
    <w:p>
      <w:pPr>
        <w:jc w:val="both"/>
      </w:pPr>
      <w:r/>
      <w:r/>
    </w:p>
    <w:p>
      <w:pPr>
        <w:jc w:val="both"/>
      </w:pPr>
      <w:r>
        <w:t xml:space="preserve">          </w:t>
      </w:r>
      <w:r>
        <w:t xml:space="preserve">*План утверждается на 2022</w:t>
      </w:r>
      <w:r>
        <w:t xml:space="preserve"> год с возможным внесением дополнений, изменений, по согласованию с председателем комиссии.</w:t>
      </w:r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spacing w:lineRule="exact" w:line="269"/>
        <w:shd w:val="clear" w:fill="FFFFFF" w:color="FFFFFF"/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t xml:space="preserve">Председател</w:t>
      </w:r>
      <w:r>
        <w:rPr>
          <w:spacing w:val="-6"/>
          <w:sz w:val="22"/>
          <w:szCs w:val="22"/>
        </w:rPr>
        <w:t xml:space="preserve">ь</w:t>
      </w:r>
      <w:r>
        <w:rPr>
          <w:spacing w:val="-6"/>
          <w:sz w:val="22"/>
          <w:szCs w:val="22"/>
        </w:rPr>
        <w:t xml:space="preserve"> межведомственной комиссии</w:t>
      </w:r>
      <w:r/>
    </w:p>
    <w:p>
      <w:pPr>
        <w:spacing w:lineRule="exact" w:line="269"/>
        <w:shd w:val="clear" w:fill="FFFFFF" w:color="FFFFFF"/>
        <w:rPr>
          <w:sz w:val="22"/>
          <w:szCs w:val="22"/>
        </w:rPr>
      </w:pPr>
      <w:r>
        <w:rPr>
          <w:spacing w:val="-6"/>
          <w:sz w:val="22"/>
          <w:szCs w:val="22"/>
        </w:rPr>
        <w:t xml:space="preserve">п</w:t>
      </w:r>
      <w:r>
        <w:rPr>
          <w:spacing w:val="-6"/>
          <w:sz w:val="22"/>
          <w:szCs w:val="22"/>
        </w:rPr>
        <w:t xml:space="preserve">о профилактике правонарушений</w:t>
      </w:r>
      <w:r/>
    </w:p>
    <w:p>
      <w:pPr>
        <w:spacing w:lineRule="exact" w:line="269"/>
        <w:shd w:val="clear" w:fill="FFFFFF" w:color="FFFFFF"/>
        <w:rPr>
          <w:sz w:val="22"/>
          <w:szCs w:val="22"/>
        </w:rPr>
      </w:pPr>
      <w:r>
        <w:rPr>
          <w:sz w:val="22"/>
          <w:szCs w:val="22"/>
        </w:rPr>
        <w:t xml:space="preserve">___________________</w:t>
      </w:r>
      <w:r>
        <w:rPr>
          <w:sz w:val="22"/>
          <w:szCs w:val="22"/>
        </w:rPr>
        <w:t xml:space="preserve"> В.Н. Елегечев</w:t>
      </w:r>
      <w:r/>
    </w:p>
    <w:p>
      <w:pPr>
        <w:spacing w:lineRule="exact" w:line="269"/>
        <w:shd w:val="clear" w:fill="FFFFFF" w:color="FFFFFF"/>
        <w:tabs>
          <w:tab w:val="left" w:pos="2198" w:leader="none"/>
        </w:tabs>
        <w:rPr>
          <w:sz w:val="22"/>
          <w:szCs w:val="22"/>
        </w:rPr>
      </w:pPr>
      <w:r>
        <w:rPr>
          <w:rFonts w:ascii="Arial" w:cs="Arial"/>
          <w:i/>
          <w:iCs/>
          <w:sz w:val="22"/>
          <w:szCs w:val="22"/>
        </w:rPr>
        <w:t xml:space="preserve">_______________</w:t>
      </w:r>
      <w:r>
        <w:rPr>
          <w:rFonts w:ascii="Arial" w:cs="Arial"/>
          <w:i/>
          <w:iCs/>
          <w:sz w:val="22"/>
          <w:szCs w:val="22"/>
        </w:rPr>
        <w:tab/>
      </w:r>
      <w:r>
        <w:rPr>
          <w:spacing w:val="-6"/>
          <w:sz w:val="22"/>
          <w:szCs w:val="22"/>
        </w:rPr>
        <w:t xml:space="preserve">2021</w:t>
      </w:r>
      <w:r>
        <w:rPr>
          <w:spacing w:val="-6"/>
          <w:sz w:val="22"/>
          <w:szCs w:val="22"/>
        </w:rPr>
        <w:t xml:space="preserve"> г.</w:t>
      </w:r>
      <w:r/>
    </w:p>
    <w:p>
      <w:pPr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Жулина</w:t>
      </w:r>
      <w:r>
        <w:rPr>
          <w:sz w:val="20"/>
          <w:szCs w:val="20"/>
        </w:rPr>
        <w:t xml:space="preserve"> Р.А.</w:t>
      </w:r>
      <w:r/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Тел. 8 (38244)21-797</w:t>
      </w:r>
      <w:r/>
    </w:p>
    <w:p>
      <w:pPr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rPr>
          <w:sz w:val="22"/>
          <w:szCs w:val="22"/>
        </w:rPr>
      </w:pPr>
      <w:r>
        <w:rPr>
          <w:sz w:val="22"/>
          <w:szCs w:val="22"/>
        </w:rPr>
      </w:r>
      <w:r/>
    </w:p>
    <w:sectPr>
      <w:footnotePr/>
      <w:endnotePr/>
      <w:type w:val="nextPage"/>
      <w:pgSz w:w="16838" w:h="11906" w:orient="landscape"/>
      <w:pgMar w:top="1418" w:right="284" w:bottom="567" w:left="28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4"/>
      <w:numFmt w:val="bullet"/>
      <w:isLgl w:val="false"/>
      <w:suff w:val="tab"/>
      <w:lvlText w:val=""/>
      <w:lvlJc w:val="left"/>
      <w:pPr>
        <w:ind w:left="1080" w:hanging="360"/>
      </w:pPr>
      <w:rPr>
        <w:rFonts w:ascii="Symbol" w:hAnsi="Symbol" w:cs="Times New Roman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660" w:hanging="660"/>
        <w:tabs>
          <w:tab w:val="left" w:pos="660" w:leader="none"/>
        </w:tabs>
      </w:pPr>
      <w:rPr>
        <w:rFonts w:hint="default"/>
      </w:rPr>
    </w:lvl>
    <w:lvl w:ilvl="1">
      <w:start w:val="9"/>
      <w:numFmt w:val="decimal"/>
      <w:isLgl w:val="false"/>
      <w:suff w:val="tab"/>
      <w:lvlText w:val="%1.%2."/>
      <w:lvlJc w:val="left"/>
      <w:pPr>
        <w:ind w:left="660" w:hanging="660"/>
        <w:tabs>
          <w:tab w:val="left" w:pos="66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left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left" w:pos="72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left" w:pos="108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left" w:pos="108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left" w:pos="144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left" w:pos="14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left" w:pos="1800" w:leader="none"/>
        </w:tabs>
      </w:pPr>
      <w:rPr>
        <w:rFonts w:hint="default"/>
      </w:rPr>
    </w:lvl>
  </w:abstractNum>
  <w:abstractNum w:abstractNumId="2">
    <w:multiLevelType w:val="hybridMultilevel"/>
    <w:lvl w:ilvl="0">
      <w:start w:val="4"/>
      <w:numFmt w:val="bullet"/>
      <w:isLgl w:val="false"/>
      <w:suff w:val="tab"/>
      <w:lvlText w:val=""/>
      <w:lvlJc w:val="left"/>
      <w:pPr>
        <w:ind w:left="1440" w:hanging="360"/>
      </w:pPr>
      <w:rPr>
        <w:rFonts w:ascii="Symbol" w:hAnsi="Symbol" w:cs="Times New Roman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left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left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left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4"/>
      <w:numFmt w:val="bullet"/>
      <w:isLgl w:val="false"/>
      <w:suff w:val="tab"/>
      <w:lvlText w:val=""/>
      <w:lvlJc w:val="left"/>
      <w:pPr>
        <w:ind w:left="1800" w:hanging="360"/>
      </w:pPr>
      <w:rPr>
        <w:rFonts w:ascii="Symbol" w:hAnsi="Symbol" w:cs="Times New Roman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sz w:val="22"/>
        <w:szCs w:val="22"/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64">
    <w:name w:val="endnote text"/>
    <w:basedOn w:val="638"/>
    <w:link w:val="465"/>
    <w:uiPriority w:val="99"/>
    <w:semiHidden/>
    <w:unhideWhenUsed/>
    <w:rPr>
      <w:sz w:val="20"/>
    </w:rPr>
    <w:pPr>
      <w:spacing w:lineRule="auto" w:line="240" w:after="0"/>
    </w:pPr>
  </w:style>
  <w:style w:type="character" w:styleId="465">
    <w:name w:val="Endnote Text Char"/>
    <w:link w:val="464"/>
    <w:uiPriority w:val="99"/>
    <w:rPr>
      <w:sz w:val="20"/>
    </w:rPr>
  </w:style>
  <w:style w:type="character" w:styleId="466">
    <w:name w:val="endnote reference"/>
    <w:basedOn w:val="639"/>
    <w:uiPriority w:val="99"/>
    <w:semiHidden/>
    <w:unhideWhenUsed/>
    <w:rPr>
      <w:vertAlign w:val="superscript"/>
    </w:rPr>
  </w:style>
  <w:style w:type="paragraph" w:styleId="467">
    <w:name w:val="Caption"/>
    <w:basedOn w:val="638"/>
    <w:next w:val="63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68">
    <w:name w:val="Caption Char"/>
    <w:basedOn w:val="467"/>
    <w:link w:val="497"/>
    <w:uiPriority w:val="99"/>
  </w:style>
  <w:style w:type="paragraph" w:styleId="469">
    <w:name w:val="Heading 1"/>
    <w:basedOn w:val="638"/>
    <w:next w:val="638"/>
    <w:link w:val="470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470">
    <w:name w:val="Heading 1 Char"/>
    <w:basedOn w:val="639"/>
    <w:link w:val="469"/>
    <w:uiPriority w:val="9"/>
    <w:rPr>
      <w:rFonts w:ascii="Arial" w:hAnsi="Arial" w:cs="Arial" w:eastAsia="Arial"/>
      <w:sz w:val="40"/>
      <w:szCs w:val="40"/>
    </w:rPr>
  </w:style>
  <w:style w:type="paragraph" w:styleId="471">
    <w:name w:val="Heading 2"/>
    <w:basedOn w:val="638"/>
    <w:next w:val="638"/>
    <w:link w:val="47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72">
    <w:name w:val="Heading 2 Char"/>
    <w:basedOn w:val="639"/>
    <w:link w:val="471"/>
    <w:uiPriority w:val="9"/>
    <w:rPr>
      <w:rFonts w:ascii="Arial" w:hAnsi="Arial" w:cs="Arial" w:eastAsia="Arial"/>
      <w:sz w:val="34"/>
    </w:rPr>
  </w:style>
  <w:style w:type="paragraph" w:styleId="473">
    <w:name w:val="Heading 3"/>
    <w:basedOn w:val="638"/>
    <w:next w:val="638"/>
    <w:link w:val="474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74">
    <w:name w:val="Heading 3 Char"/>
    <w:basedOn w:val="639"/>
    <w:link w:val="473"/>
    <w:uiPriority w:val="9"/>
    <w:rPr>
      <w:rFonts w:ascii="Arial" w:hAnsi="Arial" w:cs="Arial" w:eastAsia="Arial"/>
      <w:sz w:val="30"/>
      <w:szCs w:val="30"/>
    </w:rPr>
  </w:style>
  <w:style w:type="paragraph" w:styleId="475">
    <w:name w:val="Heading 4"/>
    <w:basedOn w:val="638"/>
    <w:next w:val="638"/>
    <w:link w:val="476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76">
    <w:name w:val="Heading 4 Char"/>
    <w:basedOn w:val="639"/>
    <w:link w:val="475"/>
    <w:uiPriority w:val="9"/>
    <w:rPr>
      <w:rFonts w:ascii="Arial" w:hAnsi="Arial" w:cs="Arial" w:eastAsia="Arial"/>
      <w:b/>
      <w:bCs/>
      <w:sz w:val="26"/>
      <w:szCs w:val="26"/>
    </w:rPr>
  </w:style>
  <w:style w:type="paragraph" w:styleId="477">
    <w:name w:val="Heading 5"/>
    <w:basedOn w:val="638"/>
    <w:next w:val="638"/>
    <w:link w:val="478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78">
    <w:name w:val="Heading 5 Char"/>
    <w:basedOn w:val="639"/>
    <w:link w:val="477"/>
    <w:uiPriority w:val="9"/>
    <w:rPr>
      <w:rFonts w:ascii="Arial" w:hAnsi="Arial" w:cs="Arial" w:eastAsia="Arial"/>
      <w:b/>
      <w:bCs/>
      <w:sz w:val="24"/>
      <w:szCs w:val="24"/>
    </w:rPr>
  </w:style>
  <w:style w:type="paragraph" w:styleId="479">
    <w:name w:val="Heading 6"/>
    <w:basedOn w:val="638"/>
    <w:next w:val="638"/>
    <w:link w:val="480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80">
    <w:name w:val="Heading 6 Char"/>
    <w:basedOn w:val="639"/>
    <w:link w:val="479"/>
    <w:uiPriority w:val="9"/>
    <w:rPr>
      <w:rFonts w:ascii="Arial" w:hAnsi="Arial" w:cs="Arial" w:eastAsia="Arial"/>
      <w:b/>
      <w:bCs/>
      <w:sz w:val="22"/>
      <w:szCs w:val="22"/>
    </w:rPr>
  </w:style>
  <w:style w:type="paragraph" w:styleId="481">
    <w:name w:val="Heading 7"/>
    <w:basedOn w:val="638"/>
    <w:next w:val="638"/>
    <w:link w:val="482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82">
    <w:name w:val="Heading 7 Char"/>
    <w:basedOn w:val="639"/>
    <w:link w:val="481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83">
    <w:name w:val="Heading 8"/>
    <w:basedOn w:val="638"/>
    <w:next w:val="638"/>
    <w:link w:val="484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84">
    <w:name w:val="Heading 8 Char"/>
    <w:basedOn w:val="639"/>
    <w:link w:val="483"/>
    <w:uiPriority w:val="9"/>
    <w:rPr>
      <w:rFonts w:ascii="Arial" w:hAnsi="Arial" w:cs="Arial" w:eastAsia="Arial"/>
      <w:i/>
      <w:iCs/>
      <w:sz w:val="22"/>
      <w:szCs w:val="22"/>
    </w:rPr>
  </w:style>
  <w:style w:type="paragraph" w:styleId="485">
    <w:name w:val="Heading 9"/>
    <w:basedOn w:val="638"/>
    <w:next w:val="638"/>
    <w:link w:val="486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86">
    <w:name w:val="Heading 9 Char"/>
    <w:basedOn w:val="639"/>
    <w:link w:val="485"/>
    <w:uiPriority w:val="9"/>
    <w:rPr>
      <w:rFonts w:ascii="Arial" w:hAnsi="Arial" w:cs="Arial" w:eastAsia="Arial"/>
      <w:i/>
      <w:iCs/>
      <w:sz w:val="21"/>
      <w:szCs w:val="21"/>
    </w:rPr>
  </w:style>
  <w:style w:type="paragraph" w:styleId="487">
    <w:name w:val="No Spacing"/>
    <w:qFormat/>
    <w:uiPriority w:val="1"/>
    <w:pPr>
      <w:spacing w:lineRule="auto" w:line="240" w:after="0" w:before="0"/>
    </w:pPr>
  </w:style>
  <w:style w:type="paragraph" w:styleId="488">
    <w:name w:val="Title"/>
    <w:basedOn w:val="638"/>
    <w:next w:val="638"/>
    <w:link w:val="489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89">
    <w:name w:val="Title Char"/>
    <w:basedOn w:val="639"/>
    <w:link w:val="488"/>
    <w:uiPriority w:val="10"/>
    <w:rPr>
      <w:sz w:val="48"/>
      <w:szCs w:val="48"/>
    </w:rPr>
  </w:style>
  <w:style w:type="paragraph" w:styleId="490">
    <w:name w:val="Subtitle"/>
    <w:basedOn w:val="638"/>
    <w:next w:val="638"/>
    <w:link w:val="491"/>
    <w:qFormat/>
    <w:uiPriority w:val="11"/>
    <w:rPr>
      <w:sz w:val="24"/>
      <w:szCs w:val="24"/>
    </w:rPr>
    <w:pPr>
      <w:spacing w:after="200" w:before="200"/>
    </w:pPr>
  </w:style>
  <w:style w:type="character" w:styleId="491">
    <w:name w:val="Subtitle Char"/>
    <w:basedOn w:val="639"/>
    <w:link w:val="490"/>
    <w:uiPriority w:val="11"/>
    <w:rPr>
      <w:sz w:val="24"/>
      <w:szCs w:val="24"/>
    </w:rPr>
  </w:style>
  <w:style w:type="paragraph" w:styleId="492">
    <w:name w:val="Quote"/>
    <w:basedOn w:val="638"/>
    <w:next w:val="638"/>
    <w:link w:val="493"/>
    <w:qFormat/>
    <w:uiPriority w:val="29"/>
    <w:rPr>
      <w:i/>
    </w:rPr>
    <w:pPr>
      <w:ind w:left="720" w:right="720"/>
    </w:pPr>
  </w:style>
  <w:style w:type="character" w:styleId="493">
    <w:name w:val="Quote Char"/>
    <w:link w:val="492"/>
    <w:uiPriority w:val="29"/>
    <w:rPr>
      <w:i/>
    </w:rPr>
  </w:style>
  <w:style w:type="paragraph" w:styleId="494">
    <w:name w:val="Intense Quote"/>
    <w:basedOn w:val="638"/>
    <w:next w:val="638"/>
    <w:link w:val="495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95">
    <w:name w:val="Intense Quote Char"/>
    <w:link w:val="494"/>
    <w:uiPriority w:val="30"/>
    <w:rPr>
      <w:i/>
    </w:rPr>
  </w:style>
  <w:style w:type="character" w:styleId="496">
    <w:name w:val="Header Char"/>
    <w:basedOn w:val="639"/>
    <w:link w:val="647"/>
    <w:uiPriority w:val="99"/>
  </w:style>
  <w:style w:type="paragraph" w:styleId="497">
    <w:name w:val="Footer"/>
    <w:basedOn w:val="638"/>
    <w:link w:val="498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98">
    <w:name w:val="Footer Char"/>
    <w:basedOn w:val="639"/>
    <w:link w:val="497"/>
    <w:uiPriority w:val="99"/>
  </w:style>
  <w:style w:type="table" w:styleId="499">
    <w:name w:val="Table Grid Light"/>
    <w:basedOn w:val="64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0">
    <w:name w:val="Plain Table 1"/>
    <w:basedOn w:val="64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1">
    <w:name w:val="Plain Table 2"/>
    <w:basedOn w:val="64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2">
    <w:name w:val="Plain Table 3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03">
    <w:name w:val="Plain Table 4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4">
    <w:name w:val="Plain Table 5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05">
    <w:name w:val="Grid Table 1 Light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6">
    <w:name w:val="Grid Table 1 Light - Accent 1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7">
    <w:name w:val="Grid Table 1 Light - Accent 2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8">
    <w:name w:val="Grid Table 1 Light - Accent 3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9">
    <w:name w:val="Grid Table 1 Light - Accent 4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0">
    <w:name w:val="Grid Table 1 Light - Accent 5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1">
    <w:name w:val="Grid Table 1 Light - Accent 6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2">
    <w:name w:val="Grid Table 2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13">
    <w:name w:val="Grid Table 2 - Accent 1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514">
    <w:name w:val="Grid Table 2 - Accent 2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15">
    <w:name w:val="Grid Table 2 - Accent 3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16">
    <w:name w:val="Grid Table 2 - Accent 4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17">
    <w:name w:val="Grid Table 2 - Accent 5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18">
    <w:name w:val="Grid Table 2 - Accent 6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19">
    <w:name w:val="Grid Table 3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0">
    <w:name w:val="Grid Table 3 - Accent 1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1">
    <w:name w:val="Grid Table 3 - Accent 2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2">
    <w:name w:val="Grid Table 3 - Accent 3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3">
    <w:name w:val="Grid Table 3 - Accent 4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4">
    <w:name w:val="Grid Table 3 - Accent 5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5">
    <w:name w:val="Grid Table 3 - Accent 6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6">
    <w:name w:val="Grid Table 4"/>
    <w:basedOn w:val="64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27">
    <w:name w:val="Grid Table 4 - Accent 1"/>
    <w:basedOn w:val="64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28">
    <w:name w:val="Grid Table 4 - Accent 2"/>
    <w:basedOn w:val="64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29">
    <w:name w:val="Grid Table 4 - Accent 3"/>
    <w:basedOn w:val="64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30">
    <w:name w:val="Grid Table 4 - Accent 4"/>
    <w:basedOn w:val="64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31">
    <w:name w:val="Grid Table 4 - Accent 5"/>
    <w:basedOn w:val="64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32">
    <w:name w:val="Grid Table 4 - Accent 6"/>
    <w:basedOn w:val="64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33">
    <w:name w:val="Grid Table 5 Dark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534">
    <w:name w:val="Grid Table 5 Dark- Accent 1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535">
    <w:name w:val="Grid Table 5 Dark - Accent 2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536">
    <w:name w:val="Grid Table 5 Dark - Accent 3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537">
    <w:name w:val="Grid Table 5 Dark- Accent 4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538">
    <w:name w:val="Grid Table 5 Dark - Accent 5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539">
    <w:name w:val="Grid Table 5 Dark - Accent 6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540">
    <w:name w:val="Grid Table 6 Colorful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41">
    <w:name w:val="Grid Table 6 Colorful - Accent 1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42">
    <w:name w:val="Grid Table 6 Colorful - Accent 2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43">
    <w:name w:val="Grid Table 6 Colorful - Accent 3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44">
    <w:name w:val="Grid Table 6 Colorful - Accent 4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45">
    <w:name w:val="Grid Table 6 Colorful - Accent 5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46">
    <w:name w:val="Grid Table 6 Colorful - Accent 6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47">
    <w:name w:val="Grid Table 7 Colorful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48">
    <w:name w:val="Grid Table 7 Colorful - Accent 1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49">
    <w:name w:val="Grid Table 7 Colorful - Accent 2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50">
    <w:name w:val="Grid Table 7 Colorful - Accent 3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51">
    <w:name w:val="Grid Table 7 Colorful - Accent 4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52">
    <w:name w:val="Grid Table 7 Colorful - Accent 5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53">
    <w:name w:val="Grid Table 7 Colorful - Accent 6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54">
    <w:name w:val="List Table 1 Light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55">
    <w:name w:val="List Table 1 Light - Accent 1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56">
    <w:name w:val="List Table 1 Light - Accent 2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57">
    <w:name w:val="List Table 1 Light - Accent 3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58">
    <w:name w:val="List Table 1 Light - Accent 4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59">
    <w:name w:val="List Table 1 Light - Accent 5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60">
    <w:name w:val="List Table 1 Light - Accent 6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61">
    <w:name w:val="List Table 2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62">
    <w:name w:val="List Table 2 - Accent 1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63">
    <w:name w:val="List Table 2 - Accent 2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64">
    <w:name w:val="List Table 2 - Accent 3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65">
    <w:name w:val="List Table 2 - Accent 4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66">
    <w:name w:val="List Table 2 - Accent 5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67">
    <w:name w:val="List Table 2 - Accent 6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68">
    <w:name w:val="List Table 3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9">
    <w:name w:val="List Table 3 - Accent 1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0">
    <w:name w:val="List Table 3 - Accent 2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1">
    <w:name w:val="List Table 3 - Accent 3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2">
    <w:name w:val="List Table 3 - Accent 4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3">
    <w:name w:val="List Table 3 - Accent 5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4">
    <w:name w:val="List Table 3 - Accent 6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5">
    <w:name w:val="List Table 4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6">
    <w:name w:val="List Table 4 - Accent 1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7">
    <w:name w:val="List Table 4 - Accent 2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8">
    <w:name w:val="List Table 4 - Accent 3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9">
    <w:name w:val="List Table 4 - Accent 4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0">
    <w:name w:val="List Table 4 - Accent 5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1">
    <w:name w:val="List Table 4 - Accent 6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2">
    <w:name w:val="List Table 5 Dark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83">
    <w:name w:val="List Table 5 Dark - Accent 1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84">
    <w:name w:val="List Table 5 Dark - Accent 2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85">
    <w:name w:val="List Table 5 Dark - Accent 3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86">
    <w:name w:val="List Table 5 Dark - Accent 4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87">
    <w:name w:val="List Table 5 Dark - Accent 5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88">
    <w:name w:val="List Table 5 Dark - Accent 6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89">
    <w:name w:val="List Table 6 Colorful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90">
    <w:name w:val="List Table 6 Colorful - Accent 1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91">
    <w:name w:val="List Table 6 Colorful - Accent 2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92">
    <w:name w:val="List Table 6 Colorful - Accent 3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93">
    <w:name w:val="List Table 6 Colorful - Accent 4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94">
    <w:name w:val="List Table 6 Colorful - Accent 5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95">
    <w:name w:val="List Table 6 Colorful - Accent 6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96">
    <w:name w:val="List Table 7 Colorful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97">
    <w:name w:val="List Table 7 Colorful - Accent 1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598">
    <w:name w:val="List Table 7 Colorful - Accent 2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599">
    <w:name w:val="List Table 7 Colorful - Accent 3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600">
    <w:name w:val="List Table 7 Colorful - Accent 4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601">
    <w:name w:val="List Table 7 Colorful - Accent 5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602">
    <w:name w:val="List Table 7 Colorful - Accent 6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603">
    <w:name w:val="Lined - Accent"/>
    <w:basedOn w:val="64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604">
    <w:name w:val="Lined - Accent 1"/>
    <w:basedOn w:val="64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605">
    <w:name w:val="Lined - Accent 2"/>
    <w:basedOn w:val="64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606">
    <w:name w:val="Lined - Accent 3"/>
    <w:basedOn w:val="64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607">
    <w:name w:val="Lined - Accent 4"/>
    <w:basedOn w:val="64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08">
    <w:name w:val="Lined - Accent 5"/>
    <w:basedOn w:val="64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09">
    <w:name w:val="Lined - Accent 6"/>
    <w:basedOn w:val="64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10">
    <w:name w:val="Bordered &amp; Lined - Accent"/>
    <w:basedOn w:val="64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611">
    <w:name w:val="Bordered &amp; Lined - Accent 1"/>
    <w:basedOn w:val="64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612">
    <w:name w:val="Bordered &amp; Lined - Accent 2"/>
    <w:basedOn w:val="64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613">
    <w:name w:val="Bordered &amp; Lined - Accent 3"/>
    <w:basedOn w:val="64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614">
    <w:name w:val="Bordered &amp; Lined - Accent 4"/>
    <w:basedOn w:val="64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15">
    <w:name w:val="Bordered &amp; Lined - Accent 5"/>
    <w:basedOn w:val="64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16">
    <w:name w:val="Bordered &amp; Lined - Accent 6"/>
    <w:basedOn w:val="64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17">
    <w:name w:val="Bordered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18">
    <w:name w:val="Bordered - Accent 1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19">
    <w:name w:val="Bordered - Accent 2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20">
    <w:name w:val="Bordered - Accent 3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21">
    <w:name w:val="Bordered - Accent 4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22">
    <w:name w:val="Bordered - Accent 5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23">
    <w:name w:val="Bordered - Accent 6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624">
    <w:name w:val="Hyperlink"/>
    <w:uiPriority w:val="99"/>
    <w:unhideWhenUsed/>
    <w:rPr>
      <w:color w:val="0000FF" w:themeColor="hyperlink"/>
      <w:u w:val="single"/>
    </w:rPr>
  </w:style>
  <w:style w:type="paragraph" w:styleId="625">
    <w:name w:val="footnote text"/>
    <w:basedOn w:val="638"/>
    <w:link w:val="626"/>
    <w:uiPriority w:val="99"/>
    <w:semiHidden/>
    <w:unhideWhenUsed/>
    <w:rPr>
      <w:sz w:val="18"/>
    </w:rPr>
    <w:pPr>
      <w:spacing w:lineRule="auto" w:line="240" w:after="40"/>
    </w:pPr>
  </w:style>
  <w:style w:type="character" w:styleId="626">
    <w:name w:val="Footnote Text Char"/>
    <w:link w:val="625"/>
    <w:uiPriority w:val="99"/>
    <w:rPr>
      <w:sz w:val="18"/>
    </w:rPr>
  </w:style>
  <w:style w:type="character" w:styleId="627">
    <w:name w:val="footnote reference"/>
    <w:basedOn w:val="639"/>
    <w:uiPriority w:val="99"/>
    <w:unhideWhenUsed/>
    <w:rPr>
      <w:vertAlign w:val="superscript"/>
    </w:rPr>
  </w:style>
  <w:style w:type="paragraph" w:styleId="628">
    <w:name w:val="toc 1"/>
    <w:basedOn w:val="638"/>
    <w:next w:val="638"/>
    <w:uiPriority w:val="39"/>
    <w:unhideWhenUsed/>
    <w:pPr>
      <w:ind w:left="0" w:right="0" w:firstLine="0"/>
      <w:spacing w:after="57"/>
    </w:pPr>
  </w:style>
  <w:style w:type="paragraph" w:styleId="629">
    <w:name w:val="toc 2"/>
    <w:basedOn w:val="638"/>
    <w:next w:val="638"/>
    <w:uiPriority w:val="39"/>
    <w:unhideWhenUsed/>
    <w:pPr>
      <w:ind w:left="283" w:right="0" w:firstLine="0"/>
      <w:spacing w:after="57"/>
    </w:pPr>
  </w:style>
  <w:style w:type="paragraph" w:styleId="630">
    <w:name w:val="toc 3"/>
    <w:basedOn w:val="638"/>
    <w:next w:val="638"/>
    <w:uiPriority w:val="39"/>
    <w:unhideWhenUsed/>
    <w:pPr>
      <w:ind w:left="567" w:right="0" w:firstLine="0"/>
      <w:spacing w:after="57"/>
    </w:pPr>
  </w:style>
  <w:style w:type="paragraph" w:styleId="631">
    <w:name w:val="toc 4"/>
    <w:basedOn w:val="638"/>
    <w:next w:val="638"/>
    <w:uiPriority w:val="39"/>
    <w:unhideWhenUsed/>
    <w:pPr>
      <w:ind w:left="850" w:right="0" w:firstLine="0"/>
      <w:spacing w:after="57"/>
    </w:pPr>
  </w:style>
  <w:style w:type="paragraph" w:styleId="632">
    <w:name w:val="toc 5"/>
    <w:basedOn w:val="638"/>
    <w:next w:val="638"/>
    <w:uiPriority w:val="39"/>
    <w:unhideWhenUsed/>
    <w:pPr>
      <w:ind w:left="1134" w:right="0" w:firstLine="0"/>
      <w:spacing w:after="57"/>
    </w:pPr>
  </w:style>
  <w:style w:type="paragraph" w:styleId="633">
    <w:name w:val="toc 6"/>
    <w:basedOn w:val="638"/>
    <w:next w:val="638"/>
    <w:uiPriority w:val="39"/>
    <w:unhideWhenUsed/>
    <w:pPr>
      <w:ind w:left="1417" w:right="0" w:firstLine="0"/>
      <w:spacing w:after="57"/>
    </w:pPr>
  </w:style>
  <w:style w:type="paragraph" w:styleId="634">
    <w:name w:val="toc 7"/>
    <w:basedOn w:val="638"/>
    <w:next w:val="638"/>
    <w:uiPriority w:val="39"/>
    <w:unhideWhenUsed/>
    <w:pPr>
      <w:ind w:left="1701" w:right="0" w:firstLine="0"/>
      <w:spacing w:after="57"/>
    </w:pPr>
  </w:style>
  <w:style w:type="paragraph" w:styleId="635">
    <w:name w:val="toc 8"/>
    <w:basedOn w:val="638"/>
    <w:next w:val="638"/>
    <w:uiPriority w:val="39"/>
    <w:unhideWhenUsed/>
    <w:pPr>
      <w:ind w:left="1984" w:right="0" w:firstLine="0"/>
      <w:spacing w:after="57"/>
    </w:pPr>
  </w:style>
  <w:style w:type="paragraph" w:styleId="636">
    <w:name w:val="toc 9"/>
    <w:basedOn w:val="638"/>
    <w:next w:val="638"/>
    <w:uiPriority w:val="39"/>
    <w:unhideWhenUsed/>
    <w:pPr>
      <w:ind w:left="2268" w:right="0" w:firstLine="0"/>
      <w:spacing w:after="57"/>
    </w:pPr>
  </w:style>
  <w:style w:type="paragraph" w:styleId="637">
    <w:name w:val="TOC Heading"/>
    <w:uiPriority w:val="39"/>
    <w:unhideWhenUsed/>
  </w:style>
  <w:style w:type="paragraph" w:styleId="638" w:default="1">
    <w:name w:val="Normal"/>
    <w:qFormat/>
    <w:rPr>
      <w:sz w:val="24"/>
      <w:szCs w:val="24"/>
    </w:rPr>
  </w:style>
  <w:style w:type="character" w:styleId="639" w:default="1">
    <w:name w:val="Default Paragraph Font"/>
    <w:uiPriority w:val="1"/>
    <w:semiHidden/>
    <w:unhideWhenUsed/>
  </w:style>
  <w:style w:type="table" w:styleId="640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1" w:default="1">
    <w:name w:val="No List"/>
    <w:uiPriority w:val="99"/>
    <w:semiHidden/>
    <w:unhideWhenUsed/>
  </w:style>
  <w:style w:type="table" w:styleId="642">
    <w:name w:val="Table Grid"/>
    <w:basedOn w:val="640"/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43">
    <w:name w:val="Balloon Text"/>
    <w:basedOn w:val="638"/>
    <w:semiHidden/>
    <w:rPr>
      <w:rFonts w:ascii="Tahoma" w:hAnsi="Tahoma" w:cs="Tahoma"/>
      <w:sz w:val="16"/>
      <w:szCs w:val="16"/>
    </w:rPr>
  </w:style>
  <w:style w:type="paragraph" w:styleId="644">
    <w:name w:val="Body Text Indent"/>
    <w:basedOn w:val="638"/>
    <w:rPr>
      <w:b/>
      <w:bCs/>
      <w:sz w:val="28"/>
      <w:szCs w:val="20"/>
    </w:rPr>
    <w:pPr>
      <w:ind w:firstLine="540"/>
      <w:jc w:val="both"/>
    </w:pPr>
  </w:style>
  <w:style w:type="paragraph" w:styleId="645" w:customStyle="1">
    <w:name w:val="ConsPlusNonformat"/>
    <w:rPr>
      <w:rFonts w:ascii="Courier New" w:hAnsi="Courier New" w:cs="Courier New"/>
    </w:rPr>
    <w:pPr>
      <w:widowControl w:val="off"/>
    </w:pPr>
  </w:style>
  <w:style w:type="character" w:styleId="646" w:customStyle="1">
    <w:name w:val="Верхний колонтитул Знак"/>
    <w:basedOn w:val="639"/>
    <w:link w:val="647"/>
    <w:rPr>
      <w:b/>
      <w:caps/>
      <w:sz w:val="28"/>
      <w:szCs w:val="28"/>
      <w:lang w:val="ru-RU" w:bidi="ar-SA" w:eastAsia="ru-RU"/>
    </w:rPr>
  </w:style>
  <w:style w:type="paragraph" w:styleId="647">
    <w:name w:val="Header"/>
    <w:basedOn w:val="638"/>
    <w:link w:val="646"/>
    <w:rPr>
      <w:b/>
      <w:caps/>
      <w:sz w:val="28"/>
      <w:szCs w:val="28"/>
    </w:rPr>
    <w:pPr>
      <w:ind w:firstLine="709"/>
      <w:jc w:val="center"/>
      <w:spacing w:after="240" w:before="120"/>
      <w:tabs>
        <w:tab w:val="center" w:pos="4153" w:leader="none"/>
        <w:tab w:val="right" w:pos="8306" w:leader="none"/>
      </w:tabs>
    </w:pPr>
  </w:style>
  <w:style w:type="paragraph" w:styleId="648">
    <w:name w:val="List Paragraph"/>
    <w:basedOn w:val="638"/>
    <w:qFormat/>
    <w:uiPriority w:val="34"/>
    <w:pPr>
      <w:ind w:left="708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Р7-Офис/6.1.0.56</Application>
  <Company>RePack by SPecialiST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revision>17</cp:revision>
  <dcterms:created xsi:type="dcterms:W3CDTF">2018-11-29T05:17:00Z</dcterms:created>
  <dcterms:modified xsi:type="dcterms:W3CDTF">2021-12-09T08:36:02Z</dcterms:modified>
</cp:coreProperties>
</file>