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087" w:rsidRPr="005D1E00" w:rsidRDefault="00E85087" w:rsidP="00E85087">
      <w:pPr>
        <w:jc w:val="center"/>
        <w:rPr>
          <w:b/>
          <w:sz w:val="36"/>
          <w:szCs w:val="36"/>
        </w:rPr>
      </w:pPr>
    </w:p>
    <w:p w:rsidR="00E85087" w:rsidRPr="00340640" w:rsidRDefault="00340640" w:rsidP="00E85087">
      <w:pPr>
        <w:rPr>
          <w:sz w:val="28"/>
          <w:szCs w:val="28"/>
          <w:lang w:val="en-US"/>
        </w:rPr>
      </w:pPr>
      <w:r>
        <w:rPr>
          <w:sz w:val="28"/>
          <w:szCs w:val="28"/>
          <w:lang w:val="en-US"/>
        </w:rPr>
        <w:t xml:space="preserve">                                                                                             </w:t>
      </w:r>
      <w:r>
        <w:rPr>
          <w:sz w:val="28"/>
          <w:szCs w:val="28"/>
        </w:rPr>
        <w:t>Приложение N 13</w:t>
      </w:r>
    </w:p>
    <w:p w:rsidR="00E85087" w:rsidRPr="005D1E00" w:rsidRDefault="00E85087" w:rsidP="00E85087">
      <w:pPr>
        <w:jc w:val="center"/>
        <w:rPr>
          <w:b/>
          <w:sz w:val="32"/>
          <w:szCs w:val="32"/>
        </w:rPr>
      </w:pPr>
      <w:r w:rsidRPr="005D1E00">
        <w:rPr>
          <w:b/>
          <w:sz w:val="32"/>
          <w:szCs w:val="32"/>
        </w:rPr>
        <w:t xml:space="preserve">Прядок </w:t>
      </w:r>
      <w:r w:rsidR="00953E6B">
        <w:rPr>
          <w:b/>
          <w:sz w:val="32"/>
          <w:szCs w:val="32"/>
        </w:rPr>
        <w:t>работы комиссии по поступлению и выбытию нефинансовых активов</w:t>
      </w:r>
    </w:p>
    <w:p w:rsidR="00E85087" w:rsidRDefault="00E85087" w:rsidP="00E85087">
      <w:pPr>
        <w:rPr>
          <w:sz w:val="28"/>
          <w:szCs w:val="28"/>
        </w:rPr>
      </w:pPr>
    </w:p>
    <w:p w:rsidR="00E85087" w:rsidRDefault="00E85087" w:rsidP="00E85087">
      <w:pPr>
        <w:rPr>
          <w:sz w:val="28"/>
          <w:szCs w:val="28"/>
        </w:rPr>
      </w:pPr>
    </w:p>
    <w:p w:rsidR="00E85087" w:rsidRDefault="00CD3324">
      <w:pPr>
        <w:rPr>
          <w:sz w:val="28"/>
          <w:szCs w:val="28"/>
        </w:rPr>
      </w:pPr>
      <w:r w:rsidRPr="00C32503">
        <w:rPr>
          <w:sz w:val="28"/>
          <w:szCs w:val="28"/>
        </w:rPr>
        <w:t xml:space="preserve">13.1. </w:t>
      </w:r>
      <w:r w:rsidR="00E85087" w:rsidRPr="00C32503">
        <w:rPr>
          <w:sz w:val="28"/>
          <w:szCs w:val="28"/>
        </w:rPr>
        <w:t xml:space="preserve">Состав постоянно действующей комиссии по поступлению и выбытию нефинансовых активов утверждается приказом руководителя. </w:t>
      </w:r>
    </w:p>
    <w:p w:rsidR="009313F5" w:rsidRPr="00C32503" w:rsidRDefault="009313F5">
      <w:pPr>
        <w:rPr>
          <w:sz w:val="28"/>
          <w:szCs w:val="28"/>
        </w:rPr>
      </w:pPr>
      <w:r>
        <w:rPr>
          <w:sz w:val="28"/>
          <w:szCs w:val="28"/>
        </w:rPr>
        <w:t xml:space="preserve">Комиссия принимает решения по следующим вопросам. </w:t>
      </w:r>
    </w:p>
    <w:p w:rsidR="00E85087" w:rsidRDefault="00E85087">
      <w:pPr>
        <w:rPr>
          <w:sz w:val="28"/>
          <w:szCs w:val="28"/>
        </w:rPr>
      </w:pPr>
    </w:p>
    <w:p w:rsidR="00355F2C" w:rsidRPr="00C32503" w:rsidRDefault="00355F2C" w:rsidP="00355F2C">
      <w:pPr>
        <w:rPr>
          <w:sz w:val="28"/>
          <w:szCs w:val="28"/>
        </w:rPr>
      </w:pPr>
      <w:r w:rsidRPr="00C32503">
        <w:rPr>
          <w:sz w:val="28"/>
          <w:szCs w:val="28"/>
        </w:rPr>
        <w:t xml:space="preserve">13.2. </w:t>
      </w:r>
      <w:r w:rsidR="00AE3894" w:rsidRPr="009313F5">
        <w:rPr>
          <w:b/>
          <w:i/>
          <w:sz w:val="28"/>
          <w:szCs w:val="28"/>
        </w:rPr>
        <w:t>О</w:t>
      </w:r>
      <w:r w:rsidRPr="009313F5">
        <w:rPr>
          <w:b/>
          <w:i/>
          <w:sz w:val="28"/>
          <w:szCs w:val="28"/>
        </w:rPr>
        <w:t>пределение текущей оценочной стоимости нефинансового актива</w:t>
      </w:r>
      <w:r w:rsidRPr="00C32503">
        <w:rPr>
          <w:sz w:val="28"/>
          <w:szCs w:val="28"/>
        </w:rPr>
        <w:t xml:space="preserve"> осуществляется методом рыночных цен на основании данных о сделках с аналогичным</w:t>
      </w:r>
      <w:r w:rsidR="009313F5">
        <w:rPr>
          <w:sz w:val="28"/>
          <w:szCs w:val="28"/>
        </w:rPr>
        <w:t>и</w:t>
      </w:r>
      <w:r w:rsidRPr="00C32503">
        <w:rPr>
          <w:sz w:val="28"/>
          <w:szCs w:val="28"/>
        </w:rPr>
        <w:t xml:space="preserve"> или схожим</w:t>
      </w:r>
      <w:r w:rsidR="009313F5">
        <w:rPr>
          <w:sz w:val="28"/>
          <w:szCs w:val="28"/>
        </w:rPr>
        <w:t>и</w:t>
      </w:r>
      <w:r w:rsidRPr="00C32503">
        <w:rPr>
          <w:sz w:val="28"/>
          <w:szCs w:val="28"/>
        </w:rPr>
        <w:t xml:space="preserve"> актив</w:t>
      </w:r>
      <w:r w:rsidR="009313F5">
        <w:rPr>
          <w:sz w:val="28"/>
          <w:szCs w:val="28"/>
        </w:rPr>
        <w:t>а</w:t>
      </w:r>
      <w:r w:rsidRPr="00C32503">
        <w:rPr>
          <w:sz w:val="28"/>
          <w:szCs w:val="28"/>
        </w:rPr>
        <w:t>м</w:t>
      </w:r>
      <w:r w:rsidR="009313F5">
        <w:rPr>
          <w:sz w:val="28"/>
          <w:szCs w:val="28"/>
        </w:rPr>
        <w:t>и</w:t>
      </w:r>
      <w:r w:rsidRPr="00C32503">
        <w:rPr>
          <w:sz w:val="28"/>
          <w:szCs w:val="28"/>
        </w:rPr>
        <w:t>, совершенных без отсрочки платежа, и определяется в сумме денежных средств, необходимых при продаже (приобретении) указанных активов на дату принятия к учету (п.25 – № 157н).</w:t>
      </w:r>
    </w:p>
    <w:p w:rsidR="00355F2C" w:rsidRDefault="00355F2C" w:rsidP="00355F2C">
      <w:pPr>
        <w:rPr>
          <w:sz w:val="28"/>
          <w:szCs w:val="28"/>
        </w:rPr>
      </w:pPr>
    </w:p>
    <w:p w:rsidR="00355F2C" w:rsidRPr="00C32503" w:rsidRDefault="009313F5" w:rsidP="00355F2C">
      <w:pPr>
        <w:rPr>
          <w:sz w:val="28"/>
          <w:szCs w:val="28"/>
        </w:rPr>
      </w:pPr>
      <w:r>
        <w:rPr>
          <w:sz w:val="28"/>
          <w:szCs w:val="28"/>
        </w:rPr>
        <w:t>В случае,</w:t>
      </w:r>
      <w:r w:rsidR="00355F2C" w:rsidRPr="00C32503">
        <w:rPr>
          <w:sz w:val="28"/>
          <w:szCs w:val="28"/>
        </w:rPr>
        <w:t xml:space="preserve"> если данные о ценах на аналогичные либо схожие материальные ценности по каким-либо причинам недоступны, в целях обеспечения непрерывного ведения бухгалтерского учета и полноты отражения в бухгалтерском учете свершившихся фактов хозяйственной деятельности текущая оценочная стоимость признается в условной оценке, равной одному рублю. При этом указанные материальные ценности, соответствующие критериям признания активов, отражаются субъектом учета на балансовых счетах в условной оценке: один объект, один рубль (п.25 – № 157н).</w:t>
      </w:r>
    </w:p>
    <w:p w:rsidR="00355F2C" w:rsidRPr="00C32503" w:rsidRDefault="00355F2C" w:rsidP="00355F2C">
      <w:pPr>
        <w:rPr>
          <w:sz w:val="28"/>
          <w:szCs w:val="28"/>
        </w:rPr>
      </w:pPr>
    </w:p>
    <w:p w:rsidR="00355F2C" w:rsidRPr="00C32503" w:rsidRDefault="00355F2C" w:rsidP="00355F2C">
      <w:pPr>
        <w:rPr>
          <w:sz w:val="28"/>
          <w:szCs w:val="28"/>
        </w:rPr>
      </w:pPr>
      <w:r w:rsidRPr="00C32503">
        <w:rPr>
          <w:sz w:val="28"/>
          <w:szCs w:val="28"/>
        </w:rPr>
        <w:t>После получения данных о ценах на аналогичные либо схожие материальные ценности по объекту нефинансового актива (материальной ценности), отраженных на дату признания в условной оценке, комиссией субъекта учета осуществляется пересмотр балансовой (справедливой) стоимости такого объекта (п.25 – № 157н).</w:t>
      </w:r>
    </w:p>
    <w:p w:rsidR="00355F2C" w:rsidRPr="00C32503" w:rsidRDefault="00355F2C" w:rsidP="00355F2C">
      <w:pPr>
        <w:rPr>
          <w:sz w:val="28"/>
          <w:szCs w:val="28"/>
        </w:rPr>
      </w:pPr>
    </w:p>
    <w:p w:rsidR="00355F2C" w:rsidRPr="00C32503" w:rsidRDefault="00355F2C" w:rsidP="00355F2C">
      <w:pPr>
        <w:rPr>
          <w:sz w:val="28"/>
          <w:szCs w:val="28"/>
        </w:rPr>
      </w:pPr>
      <w:r w:rsidRPr="00C32503">
        <w:rPr>
          <w:sz w:val="28"/>
          <w:szCs w:val="28"/>
        </w:rPr>
        <w:t>13.</w:t>
      </w:r>
      <w:r w:rsidR="009313F5">
        <w:rPr>
          <w:sz w:val="28"/>
          <w:szCs w:val="28"/>
        </w:rPr>
        <w:t>3</w:t>
      </w:r>
      <w:r w:rsidRPr="00C32503">
        <w:rPr>
          <w:sz w:val="28"/>
          <w:szCs w:val="28"/>
        </w:rPr>
        <w:t xml:space="preserve">. </w:t>
      </w:r>
      <w:r w:rsidRPr="009313F5">
        <w:rPr>
          <w:b/>
          <w:i/>
          <w:sz w:val="28"/>
          <w:szCs w:val="28"/>
        </w:rPr>
        <w:t>Установление срока полезного использования имущества</w:t>
      </w:r>
      <w:r w:rsidRPr="00C32503">
        <w:rPr>
          <w:sz w:val="28"/>
          <w:szCs w:val="28"/>
        </w:rPr>
        <w:t xml:space="preserve"> в целях начисления амортизации</w:t>
      </w:r>
      <w:r w:rsidR="000452F4">
        <w:rPr>
          <w:sz w:val="28"/>
          <w:szCs w:val="28"/>
        </w:rPr>
        <w:t xml:space="preserve"> устанавливается</w:t>
      </w:r>
      <w:r w:rsidRPr="00C32503">
        <w:rPr>
          <w:sz w:val="28"/>
          <w:szCs w:val="28"/>
        </w:rPr>
        <w:t xml:space="preserve"> из документов производителя – на основании решения комиссии учреждения по поступлению и выбытию активов принятого с учетом:       </w:t>
      </w:r>
    </w:p>
    <w:p w:rsidR="00355F2C" w:rsidRPr="00C32503" w:rsidRDefault="00355F2C" w:rsidP="00355F2C">
      <w:pPr>
        <w:rPr>
          <w:sz w:val="28"/>
          <w:szCs w:val="28"/>
        </w:rPr>
      </w:pPr>
      <w:r w:rsidRPr="00C32503">
        <w:rPr>
          <w:sz w:val="28"/>
          <w:szCs w:val="28"/>
        </w:rPr>
        <w:t xml:space="preserve">- ожидаемого срока использования этого объекта в соответствии с ожидаемой производительностью и мощностью; </w:t>
      </w:r>
    </w:p>
    <w:p w:rsidR="00355F2C" w:rsidRPr="00C32503" w:rsidRDefault="00355F2C" w:rsidP="00355F2C">
      <w:pPr>
        <w:rPr>
          <w:sz w:val="28"/>
          <w:szCs w:val="28"/>
        </w:rPr>
      </w:pPr>
      <w:r w:rsidRPr="00C32503">
        <w:rPr>
          <w:sz w:val="28"/>
          <w:szCs w:val="28"/>
        </w:rPr>
        <w:t xml:space="preserve">- ожидаемого физического износа, зависящего от режима эксплуатации, естественных условий и влияния агрессивной среды, системы проведения ремонта; </w:t>
      </w:r>
    </w:p>
    <w:p w:rsidR="00355F2C" w:rsidRPr="00C32503" w:rsidRDefault="00355F2C" w:rsidP="00355F2C">
      <w:pPr>
        <w:rPr>
          <w:sz w:val="28"/>
          <w:szCs w:val="28"/>
        </w:rPr>
      </w:pPr>
      <w:r w:rsidRPr="00C32503">
        <w:rPr>
          <w:sz w:val="28"/>
          <w:szCs w:val="28"/>
        </w:rPr>
        <w:t xml:space="preserve">- иных ограничений использования этого объекта; </w:t>
      </w:r>
    </w:p>
    <w:p w:rsidR="00355F2C" w:rsidRPr="00C32503" w:rsidRDefault="00355F2C" w:rsidP="00355F2C">
      <w:pPr>
        <w:rPr>
          <w:sz w:val="28"/>
          <w:szCs w:val="28"/>
        </w:rPr>
      </w:pPr>
      <w:r w:rsidRPr="00C32503">
        <w:rPr>
          <w:sz w:val="28"/>
          <w:szCs w:val="28"/>
        </w:rPr>
        <w:t xml:space="preserve">- гарантийного срока использования объекта; </w:t>
      </w:r>
    </w:p>
    <w:p w:rsidR="00355F2C" w:rsidRPr="00C32503" w:rsidRDefault="00355F2C" w:rsidP="00355F2C">
      <w:pPr>
        <w:rPr>
          <w:sz w:val="28"/>
          <w:szCs w:val="28"/>
        </w:rPr>
      </w:pPr>
      <w:r w:rsidRPr="00C32503">
        <w:rPr>
          <w:sz w:val="28"/>
          <w:szCs w:val="28"/>
        </w:rPr>
        <w:lastRenderedPageBreak/>
        <w:t xml:space="preserve">- сроков фактической эксплуатации и ранее начисленной суммы амортизации – для объектов, безвозмездно полученных от учреждений, государственных (муниципальных) организаций  (п.35 № 257н).  </w:t>
      </w:r>
    </w:p>
    <w:p w:rsidR="00355F2C" w:rsidRDefault="00355F2C" w:rsidP="00355F2C">
      <w:pPr>
        <w:rPr>
          <w:sz w:val="28"/>
          <w:szCs w:val="28"/>
        </w:rPr>
      </w:pPr>
    </w:p>
    <w:p w:rsidR="009313F5" w:rsidRPr="00C32503" w:rsidRDefault="009313F5" w:rsidP="00355F2C">
      <w:pPr>
        <w:rPr>
          <w:sz w:val="28"/>
          <w:szCs w:val="28"/>
        </w:rPr>
      </w:pPr>
      <w:r>
        <w:rPr>
          <w:sz w:val="28"/>
          <w:szCs w:val="28"/>
        </w:rPr>
        <w:t xml:space="preserve">13.4. </w:t>
      </w:r>
      <w:r w:rsidRPr="009313F5">
        <w:rPr>
          <w:b/>
          <w:i/>
          <w:sz w:val="28"/>
          <w:szCs w:val="28"/>
        </w:rPr>
        <w:t xml:space="preserve">Изменение срока полезного использования основных средств </w:t>
      </w:r>
    </w:p>
    <w:p w:rsidR="00355F2C" w:rsidRPr="00C32503" w:rsidRDefault="00355F2C" w:rsidP="00355F2C">
      <w:pPr>
        <w:rPr>
          <w:sz w:val="28"/>
          <w:szCs w:val="28"/>
        </w:rPr>
      </w:pPr>
      <w:r w:rsidRPr="00C32503">
        <w:rPr>
          <w:sz w:val="28"/>
          <w:szCs w:val="28"/>
        </w:rPr>
        <w:t>В случаях расчета амортизационных начислений линейным способом, при изменении срока полезного использования в связи с изменением первоначально принятых нормативных показателей функционирования амортизируемого объекта основного средства, нематериального актива, в том числе в результате проведенной достройки, дооборудования, реконструкции, модернизации или частичной ликвидации, изменении срока права пользования активом, начиная с месяца, в котором был изменен срок полезного использования, расчет годовой суммы амортизации производится учреждением линейным способом, исходя из остаточной стоимости амортизируемого объекта на дату изменения срока полезного использования и уточненной нормы амортизации, исчисленной исходя из оставшегося срока полезного использования на дату изменения срока использования (п.85 – № 157н).</w:t>
      </w:r>
    </w:p>
    <w:p w:rsidR="00355F2C" w:rsidRPr="00C32503" w:rsidRDefault="00355F2C" w:rsidP="00355F2C">
      <w:pPr>
        <w:rPr>
          <w:sz w:val="28"/>
          <w:szCs w:val="28"/>
        </w:rPr>
      </w:pPr>
    </w:p>
    <w:p w:rsidR="00355F2C" w:rsidRPr="00C32503" w:rsidRDefault="00355F2C" w:rsidP="00355F2C">
      <w:pPr>
        <w:rPr>
          <w:sz w:val="28"/>
          <w:szCs w:val="28"/>
        </w:rPr>
      </w:pPr>
      <w:r w:rsidRPr="00C32503">
        <w:rPr>
          <w:sz w:val="28"/>
          <w:szCs w:val="28"/>
        </w:rPr>
        <w:t>Под остаточной стоимостью амортизируемого объекта на соответствующую дату понимается балансовая стоимость объекта, уменьшенная на сумму начисленной на соответствующую дату амортизации и сумму убытка от обесценения (п.85 – № 157н).</w:t>
      </w:r>
    </w:p>
    <w:p w:rsidR="00355F2C" w:rsidRPr="00C32503" w:rsidRDefault="00355F2C" w:rsidP="00355F2C">
      <w:pPr>
        <w:rPr>
          <w:sz w:val="28"/>
          <w:szCs w:val="28"/>
        </w:rPr>
      </w:pPr>
    </w:p>
    <w:p w:rsidR="00355F2C" w:rsidRPr="00C32503" w:rsidRDefault="00355F2C" w:rsidP="00355F2C">
      <w:pPr>
        <w:rPr>
          <w:sz w:val="28"/>
          <w:szCs w:val="28"/>
        </w:rPr>
      </w:pPr>
      <w:r w:rsidRPr="00C32503">
        <w:rPr>
          <w:sz w:val="28"/>
          <w:szCs w:val="28"/>
        </w:rPr>
        <w:t>Под оставшимся сроком полезного использования на соответствующую дату понимается срок полезного использования амортизируемого объекта, уменьшенный на срок его фактического использования на соответствующую дату (п.85 – № 157н).</w:t>
      </w:r>
    </w:p>
    <w:p w:rsidR="00355F2C" w:rsidRPr="00C32503" w:rsidRDefault="00355F2C" w:rsidP="00355F2C">
      <w:pPr>
        <w:rPr>
          <w:sz w:val="28"/>
          <w:szCs w:val="28"/>
        </w:rPr>
      </w:pPr>
    </w:p>
    <w:p w:rsidR="00355F2C" w:rsidRPr="00C32503" w:rsidRDefault="00355F2C" w:rsidP="00355F2C">
      <w:pPr>
        <w:rPr>
          <w:sz w:val="28"/>
          <w:szCs w:val="28"/>
        </w:rPr>
      </w:pPr>
      <w:r w:rsidRPr="00C32503">
        <w:rPr>
          <w:sz w:val="28"/>
          <w:szCs w:val="28"/>
        </w:rPr>
        <w:t xml:space="preserve">При принятии к учету объекта основного средства, нематериального актива по балансовой стоимости с ранее начисленной суммой амортизации и ранее начисленным убытком от обесценения, расчет учреждением годовой суммы амортизации, производимый линейным способом, осуществляется исходя из остаточной стоимости амортизируемого объекта на дату его принятия к учету и нормы амортизации, исчисленной исходя из оставшегося срока полезного использования на дату принятия к учету такого объекта (п.85 – № 157н). </w:t>
      </w:r>
    </w:p>
    <w:p w:rsidR="00355F2C" w:rsidRDefault="00355F2C" w:rsidP="00355F2C">
      <w:pPr>
        <w:rPr>
          <w:sz w:val="28"/>
          <w:szCs w:val="28"/>
        </w:rPr>
      </w:pPr>
    </w:p>
    <w:p w:rsidR="000452F4" w:rsidRPr="00C32503" w:rsidRDefault="000452F4" w:rsidP="000452F4">
      <w:pPr>
        <w:rPr>
          <w:sz w:val="28"/>
          <w:szCs w:val="28"/>
        </w:rPr>
      </w:pPr>
      <w:r w:rsidRPr="00C32503">
        <w:rPr>
          <w:sz w:val="28"/>
          <w:szCs w:val="28"/>
        </w:rPr>
        <w:t>13.</w:t>
      </w:r>
      <w:r w:rsidR="009313F5">
        <w:rPr>
          <w:sz w:val="28"/>
          <w:szCs w:val="28"/>
        </w:rPr>
        <w:t xml:space="preserve">5. Определение </w:t>
      </w:r>
      <w:r w:rsidR="009313F5" w:rsidRPr="009313F5">
        <w:rPr>
          <w:b/>
          <w:i/>
          <w:sz w:val="28"/>
          <w:szCs w:val="28"/>
        </w:rPr>
        <w:t>с</w:t>
      </w:r>
      <w:r w:rsidRPr="009313F5">
        <w:rPr>
          <w:b/>
          <w:i/>
          <w:sz w:val="28"/>
          <w:szCs w:val="28"/>
        </w:rPr>
        <w:t>рок</w:t>
      </w:r>
      <w:r w:rsidR="009313F5" w:rsidRPr="009313F5">
        <w:rPr>
          <w:b/>
          <w:i/>
          <w:sz w:val="28"/>
          <w:szCs w:val="28"/>
        </w:rPr>
        <w:t>а</w:t>
      </w:r>
      <w:r w:rsidRPr="009313F5">
        <w:rPr>
          <w:b/>
          <w:i/>
          <w:sz w:val="28"/>
          <w:szCs w:val="28"/>
        </w:rPr>
        <w:t xml:space="preserve"> полезного использования нематериальных активов</w:t>
      </w:r>
      <w:r w:rsidRPr="00C32503">
        <w:rPr>
          <w:sz w:val="28"/>
          <w:szCs w:val="28"/>
        </w:rPr>
        <w:t xml:space="preserve"> в целях принятия объекта к бухгалтерскому учету и начисления амортизации определяется комиссии по поступлению и выбытию активов (п.60 № 157н). </w:t>
      </w:r>
    </w:p>
    <w:p w:rsidR="00355F2C" w:rsidRDefault="00355F2C" w:rsidP="00355F2C">
      <w:pPr>
        <w:rPr>
          <w:sz w:val="28"/>
          <w:szCs w:val="28"/>
        </w:rPr>
      </w:pPr>
    </w:p>
    <w:p w:rsidR="000452F4" w:rsidRPr="00C32503" w:rsidRDefault="000452F4" w:rsidP="000452F4">
      <w:pPr>
        <w:rPr>
          <w:sz w:val="28"/>
          <w:szCs w:val="28"/>
        </w:rPr>
      </w:pPr>
      <w:r w:rsidRPr="00C32503">
        <w:rPr>
          <w:sz w:val="28"/>
          <w:szCs w:val="28"/>
        </w:rPr>
        <w:t xml:space="preserve">В целях расчета сумм амортизации объектов нематериального актива комиссия учреждения по поступлению и выбытию активов ежегодно </w:t>
      </w:r>
      <w:r w:rsidRPr="00C32503">
        <w:rPr>
          <w:sz w:val="28"/>
          <w:szCs w:val="28"/>
        </w:rPr>
        <w:lastRenderedPageBreak/>
        <w:t>определяет продолжительность периода, в течение которого предполагается использовать нематериальный актив, и в случаях его существенного изменения уточняет срок его полезного использования. Возникшая в связи с этим корректировка суммы начисляемой ежемесячно амортизации осуществляется, начиная с месяца, следующего за месяцем, в котором произведено уточнение срока полезного использования (п.61 – № 157н).</w:t>
      </w:r>
    </w:p>
    <w:p w:rsidR="00355F2C" w:rsidRPr="00C32503" w:rsidRDefault="00355F2C">
      <w:pPr>
        <w:rPr>
          <w:sz w:val="28"/>
          <w:szCs w:val="28"/>
        </w:rPr>
      </w:pPr>
    </w:p>
    <w:p w:rsidR="0062147E" w:rsidRPr="00C32503" w:rsidRDefault="0062147E">
      <w:pPr>
        <w:rPr>
          <w:sz w:val="28"/>
          <w:szCs w:val="28"/>
        </w:rPr>
      </w:pPr>
      <w:r w:rsidRPr="00C32503">
        <w:rPr>
          <w:sz w:val="28"/>
          <w:szCs w:val="28"/>
        </w:rPr>
        <w:t>13.</w:t>
      </w:r>
      <w:r w:rsidR="009313F5">
        <w:rPr>
          <w:sz w:val="28"/>
          <w:szCs w:val="28"/>
        </w:rPr>
        <w:t>6</w:t>
      </w:r>
      <w:r w:rsidRPr="00C32503">
        <w:rPr>
          <w:sz w:val="28"/>
          <w:szCs w:val="28"/>
        </w:rPr>
        <w:t xml:space="preserve">. </w:t>
      </w:r>
      <w:r w:rsidR="00697636" w:rsidRPr="009313F5">
        <w:rPr>
          <w:b/>
          <w:i/>
          <w:sz w:val="28"/>
          <w:szCs w:val="28"/>
        </w:rPr>
        <w:t>Принятие к учету объектов основных средств</w:t>
      </w:r>
      <w:r w:rsidR="00697636" w:rsidRPr="00C32503">
        <w:rPr>
          <w:sz w:val="28"/>
          <w:szCs w:val="28"/>
        </w:rPr>
        <w:t xml:space="preserve">, нематериальных, непроизведенных активов, а так же выбытие основных средств, нематериальных, непроизведенных активов (в том числе в результате принятия решения об </w:t>
      </w:r>
      <w:r w:rsidRPr="00C32503">
        <w:rPr>
          <w:sz w:val="28"/>
          <w:szCs w:val="28"/>
        </w:rPr>
        <w:t xml:space="preserve">их </w:t>
      </w:r>
      <w:r w:rsidR="00697636" w:rsidRPr="00C32503">
        <w:rPr>
          <w:sz w:val="28"/>
          <w:szCs w:val="28"/>
        </w:rPr>
        <w:t xml:space="preserve">списании) осуществляется, </w:t>
      </w:r>
      <w:r w:rsidRPr="00C32503">
        <w:rPr>
          <w:sz w:val="28"/>
          <w:szCs w:val="28"/>
        </w:rPr>
        <w:t xml:space="preserve">на основании решения постоянно действующей комиссии по поступлению и выбытию активов, оформленного оправдательным документом (первичным (сводным) учетным документом) </w:t>
      </w:r>
      <w:r w:rsidR="000E6483" w:rsidRPr="00C32503">
        <w:rPr>
          <w:sz w:val="28"/>
          <w:szCs w:val="28"/>
        </w:rPr>
        <w:t xml:space="preserve">– </w:t>
      </w:r>
      <w:r w:rsidR="000452F4">
        <w:rPr>
          <w:sz w:val="28"/>
          <w:szCs w:val="28"/>
        </w:rPr>
        <w:t>ак</w:t>
      </w:r>
      <w:r w:rsidR="000E6483" w:rsidRPr="00C32503">
        <w:rPr>
          <w:sz w:val="28"/>
          <w:szCs w:val="28"/>
        </w:rPr>
        <w:t>том по</w:t>
      </w:r>
      <w:r w:rsidR="000452F4" w:rsidRPr="00C32503">
        <w:rPr>
          <w:sz w:val="28"/>
          <w:szCs w:val="28"/>
        </w:rPr>
        <w:t>установленной</w:t>
      </w:r>
      <w:r w:rsidR="000E6483" w:rsidRPr="00C32503">
        <w:rPr>
          <w:sz w:val="28"/>
          <w:szCs w:val="28"/>
        </w:rPr>
        <w:t xml:space="preserve"> форме, иным документ</w:t>
      </w:r>
      <w:r w:rsidR="000452F4">
        <w:rPr>
          <w:sz w:val="28"/>
          <w:szCs w:val="28"/>
        </w:rPr>
        <w:t xml:space="preserve">ом </w:t>
      </w:r>
      <w:r w:rsidR="000E6483" w:rsidRPr="00C32503">
        <w:rPr>
          <w:sz w:val="28"/>
          <w:szCs w:val="28"/>
        </w:rPr>
        <w:t xml:space="preserve">  установленным в Учетной политике </w:t>
      </w:r>
      <w:r w:rsidRPr="00C32503">
        <w:rPr>
          <w:sz w:val="28"/>
          <w:szCs w:val="28"/>
        </w:rPr>
        <w:t xml:space="preserve">(п.34 № 157н). </w:t>
      </w:r>
    </w:p>
    <w:p w:rsidR="00355F2C" w:rsidRDefault="00355F2C">
      <w:pPr>
        <w:rPr>
          <w:sz w:val="28"/>
          <w:szCs w:val="28"/>
        </w:rPr>
      </w:pPr>
    </w:p>
    <w:p w:rsidR="00D22023" w:rsidRPr="00C32503" w:rsidRDefault="00D22023">
      <w:pPr>
        <w:rPr>
          <w:sz w:val="28"/>
          <w:szCs w:val="28"/>
        </w:rPr>
      </w:pPr>
      <w:r w:rsidRPr="00C32503">
        <w:rPr>
          <w:sz w:val="28"/>
          <w:szCs w:val="28"/>
        </w:rPr>
        <w:t>13.</w:t>
      </w:r>
      <w:r w:rsidR="009313F5">
        <w:rPr>
          <w:sz w:val="28"/>
          <w:szCs w:val="28"/>
        </w:rPr>
        <w:t>7</w:t>
      </w:r>
      <w:r w:rsidRPr="00C32503">
        <w:rPr>
          <w:sz w:val="28"/>
          <w:szCs w:val="28"/>
        </w:rPr>
        <w:t xml:space="preserve">. </w:t>
      </w:r>
      <w:r w:rsidRPr="009313F5">
        <w:rPr>
          <w:b/>
          <w:i/>
          <w:sz w:val="28"/>
          <w:szCs w:val="28"/>
        </w:rPr>
        <w:t>Присвоенный объекту инвентарный номер</w:t>
      </w:r>
      <w:r w:rsidRPr="00C32503">
        <w:rPr>
          <w:sz w:val="28"/>
          <w:szCs w:val="28"/>
        </w:rPr>
        <w:t xml:space="preserve"> должен быть обозначен материально ответственным лицом в присутствии уполномоченного члена комиссии по поступлению и выбытию активов ФИО путем прикрепления  к нему жетона, нанесения на объект учета краской или иным способом, обеспечивающим сохранность маркировки (п.46 № 157н). </w:t>
      </w:r>
    </w:p>
    <w:p w:rsidR="000452F4" w:rsidRDefault="000452F4" w:rsidP="00B5534C">
      <w:pPr>
        <w:rPr>
          <w:sz w:val="28"/>
          <w:szCs w:val="28"/>
        </w:rPr>
      </w:pPr>
    </w:p>
    <w:p w:rsidR="000452F4" w:rsidRPr="00C32503" w:rsidRDefault="000452F4" w:rsidP="000452F4">
      <w:pPr>
        <w:rPr>
          <w:sz w:val="28"/>
          <w:szCs w:val="28"/>
        </w:rPr>
      </w:pPr>
      <w:r w:rsidRPr="00C32503">
        <w:rPr>
          <w:sz w:val="28"/>
          <w:szCs w:val="28"/>
        </w:rPr>
        <w:t>13.</w:t>
      </w:r>
      <w:r w:rsidR="009313F5">
        <w:rPr>
          <w:sz w:val="28"/>
          <w:szCs w:val="28"/>
        </w:rPr>
        <w:t>8</w:t>
      </w:r>
      <w:r w:rsidRPr="00C32503">
        <w:rPr>
          <w:sz w:val="28"/>
          <w:szCs w:val="28"/>
        </w:rPr>
        <w:t xml:space="preserve">. </w:t>
      </w:r>
      <w:r w:rsidRPr="009313F5">
        <w:rPr>
          <w:b/>
          <w:i/>
          <w:sz w:val="28"/>
          <w:szCs w:val="28"/>
        </w:rPr>
        <w:t>Выбытие инвентарных объектов основных средств</w:t>
      </w:r>
      <w:r w:rsidRPr="00C32503">
        <w:rPr>
          <w:sz w:val="28"/>
          <w:szCs w:val="28"/>
        </w:rPr>
        <w:t xml:space="preserve">, в том числе объектов движимого имущества стоимостью до 10 000 руб. включительно, учитываемых на </w:t>
      </w:r>
      <w:proofErr w:type="spellStart"/>
      <w:r w:rsidRPr="00C32503">
        <w:rPr>
          <w:sz w:val="28"/>
          <w:szCs w:val="28"/>
        </w:rPr>
        <w:t>забалансовом</w:t>
      </w:r>
      <w:proofErr w:type="spellEnd"/>
      <w:r w:rsidRPr="00C32503">
        <w:rPr>
          <w:sz w:val="28"/>
          <w:szCs w:val="28"/>
        </w:rPr>
        <w:t xml:space="preserve"> счете, отражается на основании решения комиссии по поступлению и выбытию активов (п.34 ОС), оформленного в установленном порядке соответствующим первичным учетным документом (Актом) (п.51 № 157н). </w:t>
      </w:r>
    </w:p>
    <w:p w:rsidR="000452F4" w:rsidRDefault="000452F4" w:rsidP="00B5534C">
      <w:pPr>
        <w:rPr>
          <w:sz w:val="28"/>
          <w:szCs w:val="28"/>
        </w:rPr>
      </w:pPr>
    </w:p>
    <w:p w:rsidR="00B5534C" w:rsidRPr="00C32503" w:rsidRDefault="00B5534C" w:rsidP="00B5534C">
      <w:pPr>
        <w:rPr>
          <w:sz w:val="28"/>
          <w:szCs w:val="28"/>
        </w:rPr>
      </w:pPr>
      <w:r w:rsidRPr="00C32503">
        <w:rPr>
          <w:sz w:val="28"/>
          <w:szCs w:val="28"/>
        </w:rPr>
        <w:t>13.</w:t>
      </w:r>
      <w:r w:rsidR="009313F5">
        <w:rPr>
          <w:sz w:val="28"/>
          <w:szCs w:val="28"/>
        </w:rPr>
        <w:t>9</w:t>
      </w:r>
      <w:r w:rsidRPr="00C32503">
        <w:rPr>
          <w:sz w:val="28"/>
          <w:szCs w:val="28"/>
        </w:rPr>
        <w:t xml:space="preserve">. Определение </w:t>
      </w:r>
      <w:r w:rsidRPr="009313F5">
        <w:rPr>
          <w:b/>
          <w:i/>
          <w:sz w:val="28"/>
          <w:szCs w:val="28"/>
        </w:rPr>
        <w:t>текущей восстановительной стоимости материальных ценностей на день обнаружения недостачи, ущерба имущества</w:t>
      </w:r>
      <w:r w:rsidRPr="00C32503">
        <w:rPr>
          <w:sz w:val="28"/>
          <w:szCs w:val="28"/>
        </w:rPr>
        <w:t xml:space="preserve">. </w:t>
      </w:r>
    </w:p>
    <w:p w:rsidR="00B5534C" w:rsidRDefault="00B5534C" w:rsidP="00B5534C">
      <w:pPr>
        <w:rPr>
          <w:sz w:val="28"/>
          <w:szCs w:val="28"/>
        </w:rPr>
      </w:pPr>
    </w:p>
    <w:p w:rsidR="000452F4" w:rsidRPr="00C32503" w:rsidRDefault="000452F4" w:rsidP="000452F4">
      <w:pPr>
        <w:rPr>
          <w:sz w:val="28"/>
          <w:szCs w:val="28"/>
        </w:rPr>
      </w:pPr>
      <w:r w:rsidRPr="00C32503">
        <w:rPr>
          <w:sz w:val="28"/>
          <w:szCs w:val="28"/>
        </w:rPr>
        <w:t xml:space="preserve">При определении размера ущерба, причиненного недостачами, хищениями, следует исходить из текущей восстановительной стоимости материальных ценностей на день обнаружения ущерба. Под текущей восстановительной стоимостью понимается сумма денежных средств, которая необходима для восстановления указанных активов (п.220 – № 157н). </w:t>
      </w:r>
    </w:p>
    <w:p w:rsidR="000452F4" w:rsidRPr="00C32503" w:rsidRDefault="000452F4" w:rsidP="00B5534C">
      <w:pPr>
        <w:rPr>
          <w:sz w:val="28"/>
          <w:szCs w:val="28"/>
        </w:rPr>
      </w:pPr>
    </w:p>
    <w:p w:rsidR="000452F4" w:rsidRPr="00C32503" w:rsidRDefault="000452F4" w:rsidP="000452F4">
      <w:pPr>
        <w:rPr>
          <w:sz w:val="28"/>
          <w:szCs w:val="28"/>
        </w:rPr>
      </w:pPr>
      <w:r w:rsidRPr="00C32503">
        <w:rPr>
          <w:sz w:val="28"/>
          <w:szCs w:val="28"/>
        </w:rPr>
        <w:t xml:space="preserve">На суммы недостач, хищений, потерь от порчи, иных ущербов, не признанных виновными лицами к возмещению, оформленные в установленном порядке материалы передаются для предъявления гражданского иска либо возбуждения в установленном порядке уголовного дела. При получении решения суда Суммы предъявленного к возмещению ущерба уточняются в соответствии с решением суда, исполнительным </w:t>
      </w:r>
      <w:r w:rsidRPr="00C32503">
        <w:rPr>
          <w:sz w:val="28"/>
          <w:szCs w:val="28"/>
        </w:rPr>
        <w:lastRenderedPageBreak/>
        <w:t>листом, либо по иным основаниям согласно законодательству Российской Федерации(п.220 – № 157н).</w:t>
      </w:r>
    </w:p>
    <w:p w:rsidR="00D22023" w:rsidRPr="00C32503" w:rsidRDefault="00D22023">
      <w:pPr>
        <w:rPr>
          <w:sz w:val="28"/>
          <w:szCs w:val="28"/>
        </w:rPr>
      </w:pPr>
    </w:p>
    <w:p w:rsidR="000452F4" w:rsidRPr="00C32503" w:rsidRDefault="000452F4" w:rsidP="000452F4">
      <w:pPr>
        <w:rPr>
          <w:sz w:val="28"/>
          <w:szCs w:val="28"/>
        </w:rPr>
      </w:pPr>
      <w:r w:rsidRPr="00C32503">
        <w:rPr>
          <w:sz w:val="28"/>
          <w:szCs w:val="28"/>
        </w:rPr>
        <w:t>13.1</w:t>
      </w:r>
      <w:r w:rsidR="009313F5">
        <w:rPr>
          <w:sz w:val="28"/>
          <w:szCs w:val="28"/>
        </w:rPr>
        <w:t>0</w:t>
      </w:r>
      <w:r w:rsidRPr="00C32503">
        <w:rPr>
          <w:sz w:val="28"/>
          <w:szCs w:val="28"/>
        </w:rPr>
        <w:t xml:space="preserve">. При </w:t>
      </w:r>
      <w:r w:rsidRPr="009313F5">
        <w:rPr>
          <w:b/>
          <w:i/>
          <w:sz w:val="28"/>
          <w:szCs w:val="28"/>
        </w:rPr>
        <w:t>списании основных средств</w:t>
      </w:r>
      <w:r w:rsidRPr="00C32503">
        <w:rPr>
          <w:sz w:val="28"/>
          <w:szCs w:val="28"/>
        </w:rPr>
        <w:t xml:space="preserve">  в акт о списании нефинансовых активов ф.0504104 комиссия отражает основание для принятия решения о прекращении использования основных средств или такое решение принимает инвентаризационная комиссия в акте о результатах инвентаризации (ф.0504835) это служит основанием для выбытия основных сре</w:t>
      </w:r>
      <w:proofErr w:type="gramStart"/>
      <w:r w:rsidRPr="00C32503">
        <w:rPr>
          <w:sz w:val="28"/>
          <w:szCs w:val="28"/>
        </w:rPr>
        <w:t>дств с б</w:t>
      </w:r>
      <w:proofErr w:type="gramEnd"/>
      <w:r w:rsidRPr="00C32503">
        <w:rPr>
          <w:sz w:val="28"/>
          <w:szCs w:val="28"/>
        </w:rPr>
        <w:t xml:space="preserve">аланса (МУ  ОС). </w:t>
      </w:r>
    </w:p>
    <w:p w:rsidR="00B5534C" w:rsidRDefault="00B5534C">
      <w:pPr>
        <w:rPr>
          <w:sz w:val="28"/>
          <w:szCs w:val="28"/>
        </w:rPr>
      </w:pPr>
    </w:p>
    <w:p w:rsidR="000452F4" w:rsidRPr="00C32503" w:rsidRDefault="000452F4" w:rsidP="000452F4">
      <w:pPr>
        <w:rPr>
          <w:sz w:val="28"/>
          <w:szCs w:val="28"/>
        </w:rPr>
      </w:pPr>
      <w:r w:rsidRPr="00C32503">
        <w:rPr>
          <w:sz w:val="28"/>
          <w:szCs w:val="28"/>
        </w:rPr>
        <w:t xml:space="preserve">Выбытие основных средств в том числе до 10 000 руб. на основании решения комиссии оформлено актом (п.51 № 157н), </w:t>
      </w:r>
      <w:r>
        <w:rPr>
          <w:sz w:val="28"/>
          <w:szCs w:val="28"/>
        </w:rPr>
        <w:t>(</w:t>
      </w:r>
      <w:r w:rsidRPr="00C32503">
        <w:rPr>
          <w:sz w:val="28"/>
          <w:szCs w:val="28"/>
        </w:rPr>
        <w:t>иное</w:t>
      </w:r>
      <w:r>
        <w:rPr>
          <w:sz w:val="28"/>
          <w:szCs w:val="28"/>
        </w:rPr>
        <w:t xml:space="preserve">…).  </w:t>
      </w:r>
    </w:p>
    <w:p w:rsidR="000452F4" w:rsidRDefault="000452F4">
      <w:pPr>
        <w:rPr>
          <w:sz w:val="28"/>
          <w:szCs w:val="28"/>
        </w:rPr>
      </w:pPr>
    </w:p>
    <w:p w:rsidR="000452F4" w:rsidRPr="00C32503" w:rsidRDefault="000452F4" w:rsidP="000452F4">
      <w:pPr>
        <w:rPr>
          <w:sz w:val="28"/>
          <w:szCs w:val="28"/>
        </w:rPr>
      </w:pPr>
      <w:r w:rsidRPr="00C32503">
        <w:rPr>
          <w:sz w:val="28"/>
          <w:szCs w:val="28"/>
        </w:rPr>
        <w:t>13.</w:t>
      </w:r>
      <w:r w:rsidR="009313F5">
        <w:rPr>
          <w:sz w:val="28"/>
          <w:szCs w:val="28"/>
        </w:rPr>
        <w:t>11</w:t>
      </w:r>
      <w:r w:rsidRPr="00C32503">
        <w:rPr>
          <w:sz w:val="28"/>
          <w:szCs w:val="28"/>
        </w:rPr>
        <w:t xml:space="preserve">. Субъект учета имеет право </w:t>
      </w:r>
      <w:r w:rsidRPr="009313F5">
        <w:rPr>
          <w:b/>
          <w:i/>
          <w:sz w:val="28"/>
          <w:szCs w:val="28"/>
        </w:rPr>
        <w:t>отдельно начислять амортизацию</w:t>
      </w:r>
      <w:r w:rsidRPr="00C32503">
        <w:rPr>
          <w:sz w:val="28"/>
          <w:szCs w:val="28"/>
        </w:rPr>
        <w:t xml:space="preserve"> на структурную часть объектов основных средств. При этом стоимость распределяется на структурные части по решению комиссии (п.40 № 257н). </w:t>
      </w:r>
    </w:p>
    <w:p w:rsidR="000452F4" w:rsidRDefault="000452F4">
      <w:pPr>
        <w:rPr>
          <w:sz w:val="28"/>
          <w:szCs w:val="28"/>
        </w:rPr>
      </w:pPr>
    </w:p>
    <w:p w:rsidR="000452F4" w:rsidRPr="00C32503" w:rsidRDefault="000452F4" w:rsidP="000452F4">
      <w:pPr>
        <w:rPr>
          <w:sz w:val="28"/>
          <w:szCs w:val="28"/>
        </w:rPr>
      </w:pPr>
      <w:r w:rsidRPr="00C32503">
        <w:rPr>
          <w:sz w:val="28"/>
          <w:szCs w:val="28"/>
        </w:rPr>
        <w:t>13.</w:t>
      </w:r>
      <w:r w:rsidR="000D215E">
        <w:rPr>
          <w:sz w:val="28"/>
          <w:szCs w:val="28"/>
        </w:rPr>
        <w:t>1</w:t>
      </w:r>
      <w:r>
        <w:rPr>
          <w:sz w:val="28"/>
          <w:szCs w:val="28"/>
        </w:rPr>
        <w:t>2</w:t>
      </w:r>
      <w:r w:rsidRPr="00C32503">
        <w:rPr>
          <w:sz w:val="28"/>
          <w:szCs w:val="28"/>
        </w:rPr>
        <w:t>. К</w:t>
      </w:r>
      <w:r w:rsidR="000D215E">
        <w:rPr>
          <w:sz w:val="28"/>
          <w:szCs w:val="28"/>
        </w:rPr>
        <w:t xml:space="preserve">омиссия по поступлению и выбытию активов </w:t>
      </w:r>
      <w:r w:rsidRPr="00C32503">
        <w:rPr>
          <w:sz w:val="28"/>
          <w:szCs w:val="28"/>
        </w:rPr>
        <w:t xml:space="preserve">устанавливает </w:t>
      </w:r>
      <w:r w:rsidRPr="000D215E">
        <w:rPr>
          <w:b/>
          <w:i/>
          <w:sz w:val="28"/>
          <w:szCs w:val="28"/>
        </w:rPr>
        <w:t>несоответствие критериям актива</w:t>
      </w:r>
      <w:r w:rsidRPr="00C32503">
        <w:rPr>
          <w:sz w:val="28"/>
          <w:szCs w:val="28"/>
        </w:rPr>
        <w:t xml:space="preserve"> (МУ стр.12). </w:t>
      </w:r>
    </w:p>
    <w:p w:rsidR="000452F4" w:rsidRDefault="000452F4">
      <w:pPr>
        <w:rPr>
          <w:sz w:val="28"/>
          <w:szCs w:val="28"/>
        </w:rPr>
      </w:pPr>
    </w:p>
    <w:p w:rsidR="000A64FC" w:rsidRPr="00C32503" w:rsidRDefault="009A451A">
      <w:pPr>
        <w:rPr>
          <w:sz w:val="28"/>
          <w:szCs w:val="28"/>
        </w:rPr>
      </w:pPr>
      <w:r w:rsidRPr="00C32503">
        <w:rPr>
          <w:sz w:val="28"/>
          <w:szCs w:val="28"/>
        </w:rPr>
        <w:t>13.</w:t>
      </w:r>
      <w:r w:rsidR="000D215E">
        <w:rPr>
          <w:sz w:val="28"/>
          <w:szCs w:val="28"/>
        </w:rPr>
        <w:t>13</w:t>
      </w:r>
      <w:r w:rsidRPr="00C32503">
        <w:rPr>
          <w:sz w:val="28"/>
          <w:szCs w:val="28"/>
        </w:rPr>
        <w:t xml:space="preserve">. </w:t>
      </w:r>
      <w:r w:rsidR="000A64FC" w:rsidRPr="00C32503">
        <w:rPr>
          <w:sz w:val="28"/>
          <w:szCs w:val="28"/>
        </w:rPr>
        <w:t xml:space="preserve">В соответствии с требованиями Приказа МФ РФ от 30.03.15 № </w:t>
      </w:r>
      <w:r w:rsidR="000D215E" w:rsidRPr="00C32503">
        <w:rPr>
          <w:sz w:val="28"/>
          <w:szCs w:val="28"/>
        </w:rPr>
        <w:t>К</w:t>
      </w:r>
      <w:r w:rsidR="000D215E">
        <w:rPr>
          <w:sz w:val="28"/>
          <w:szCs w:val="28"/>
        </w:rPr>
        <w:t xml:space="preserve">омиссия по поступлению и выбытию </w:t>
      </w:r>
      <w:r w:rsidR="000D215E" w:rsidRPr="000D215E">
        <w:rPr>
          <w:b/>
          <w:i/>
          <w:sz w:val="28"/>
          <w:szCs w:val="28"/>
        </w:rPr>
        <w:t>активов</w:t>
      </w:r>
      <w:r w:rsidR="000A64FC" w:rsidRPr="000D215E">
        <w:rPr>
          <w:b/>
          <w:i/>
          <w:sz w:val="28"/>
          <w:szCs w:val="28"/>
        </w:rPr>
        <w:t xml:space="preserve"> участвует в оформлении следующих форм</w:t>
      </w:r>
      <w:r w:rsidR="000A64FC" w:rsidRPr="00C32503">
        <w:rPr>
          <w:sz w:val="28"/>
          <w:szCs w:val="28"/>
        </w:rPr>
        <w:t xml:space="preserve">: </w:t>
      </w:r>
    </w:p>
    <w:p w:rsidR="000A64FC" w:rsidRPr="00C32503" w:rsidRDefault="009A451A">
      <w:pPr>
        <w:rPr>
          <w:sz w:val="28"/>
          <w:szCs w:val="28"/>
        </w:rPr>
      </w:pPr>
      <w:r w:rsidRPr="00C32503">
        <w:rPr>
          <w:sz w:val="28"/>
          <w:szCs w:val="28"/>
        </w:rPr>
        <w:t xml:space="preserve">- ф.0504101 </w:t>
      </w:r>
      <w:r w:rsidR="004F6293" w:rsidRPr="00C32503">
        <w:rPr>
          <w:sz w:val="28"/>
          <w:szCs w:val="28"/>
        </w:rPr>
        <w:t xml:space="preserve">«Акт о приеме-передаче объектов нефинансовых активов» </w:t>
      </w:r>
    </w:p>
    <w:p w:rsidR="00132658" w:rsidRPr="00C32503" w:rsidRDefault="00132658">
      <w:pPr>
        <w:rPr>
          <w:sz w:val="28"/>
          <w:szCs w:val="28"/>
        </w:rPr>
      </w:pPr>
      <w:r w:rsidRPr="00C32503">
        <w:rPr>
          <w:sz w:val="28"/>
          <w:szCs w:val="28"/>
        </w:rPr>
        <w:t xml:space="preserve">- ф.0504103 </w:t>
      </w:r>
      <w:r w:rsidR="004F6293" w:rsidRPr="00C32503">
        <w:rPr>
          <w:sz w:val="28"/>
          <w:szCs w:val="28"/>
        </w:rPr>
        <w:t xml:space="preserve"> «Акт приема-сдачи отремонтированных, реконструированных и модернизированных объектов основных средств» </w:t>
      </w:r>
    </w:p>
    <w:p w:rsidR="00132658" w:rsidRPr="00C32503" w:rsidRDefault="00132658">
      <w:pPr>
        <w:rPr>
          <w:sz w:val="28"/>
          <w:szCs w:val="28"/>
        </w:rPr>
      </w:pPr>
      <w:r w:rsidRPr="00C32503">
        <w:rPr>
          <w:sz w:val="28"/>
          <w:szCs w:val="28"/>
        </w:rPr>
        <w:t xml:space="preserve">- ф.0504104 </w:t>
      </w:r>
      <w:r w:rsidR="004F6293" w:rsidRPr="00C32503">
        <w:rPr>
          <w:sz w:val="28"/>
          <w:szCs w:val="28"/>
        </w:rPr>
        <w:t xml:space="preserve"> «Акт о списании объектов нефинансовых активов (кроме транспортных средств)» </w:t>
      </w:r>
    </w:p>
    <w:p w:rsidR="00132658" w:rsidRPr="00C32503" w:rsidRDefault="00132658">
      <w:pPr>
        <w:rPr>
          <w:sz w:val="28"/>
          <w:szCs w:val="28"/>
        </w:rPr>
      </w:pPr>
      <w:r w:rsidRPr="00C32503">
        <w:rPr>
          <w:sz w:val="28"/>
          <w:szCs w:val="28"/>
        </w:rPr>
        <w:t xml:space="preserve">- ф.0504105 </w:t>
      </w:r>
      <w:r w:rsidR="004F6293" w:rsidRPr="00C32503">
        <w:rPr>
          <w:sz w:val="28"/>
          <w:szCs w:val="28"/>
        </w:rPr>
        <w:t xml:space="preserve"> «Акт о списании транспортного средства» </w:t>
      </w:r>
    </w:p>
    <w:p w:rsidR="00132658" w:rsidRPr="00C32503" w:rsidRDefault="00132658">
      <w:pPr>
        <w:rPr>
          <w:sz w:val="28"/>
          <w:szCs w:val="28"/>
        </w:rPr>
      </w:pPr>
      <w:r w:rsidRPr="00C32503">
        <w:rPr>
          <w:sz w:val="28"/>
          <w:szCs w:val="28"/>
        </w:rPr>
        <w:t xml:space="preserve">- ф.0405143 </w:t>
      </w:r>
      <w:r w:rsidR="004F6293" w:rsidRPr="00C32503">
        <w:rPr>
          <w:sz w:val="28"/>
          <w:szCs w:val="28"/>
        </w:rPr>
        <w:t xml:space="preserve"> «Акт о списании мягкого и хозяйственного инвентаря» </w:t>
      </w:r>
    </w:p>
    <w:p w:rsidR="00132658" w:rsidRPr="00C32503" w:rsidRDefault="00132658">
      <w:pPr>
        <w:rPr>
          <w:sz w:val="28"/>
          <w:szCs w:val="28"/>
        </w:rPr>
      </w:pPr>
      <w:r w:rsidRPr="00C32503">
        <w:rPr>
          <w:sz w:val="28"/>
          <w:szCs w:val="28"/>
        </w:rPr>
        <w:t xml:space="preserve">- ф.0504144 </w:t>
      </w:r>
      <w:r w:rsidR="004F6293" w:rsidRPr="00C32503">
        <w:rPr>
          <w:sz w:val="28"/>
          <w:szCs w:val="28"/>
        </w:rPr>
        <w:t xml:space="preserve"> «Акт о списании исключенных объектов библиотечного фонда» </w:t>
      </w:r>
    </w:p>
    <w:p w:rsidR="00132658" w:rsidRPr="00C32503" w:rsidRDefault="00132658">
      <w:pPr>
        <w:rPr>
          <w:sz w:val="28"/>
          <w:szCs w:val="28"/>
        </w:rPr>
      </w:pPr>
      <w:r w:rsidRPr="00C32503">
        <w:rPr>
          <w:sz w:val="28"/>
          <w:szCs w:val="28"/>
        </w:rPr>
        <w:t xml:space="preserve">- ф.0504220 </w:t>
      </w:r>
      <w:r w:rsidR="004F6293" w:rsidRPr="00C32503">
        <w:rPr>
          <w:sz w:val="28"/>
          <w:szCs w:val="28"/>
        </w:rPr>
        <w:t xml:space="preserve"> «Акт приемки материалов (материальных ценностей)» </w:t>
      </w:r>
    </w:p>
    <w:p w:rsidR="00132658" w:rsidRPr="00C32503" w:rsidRDefault="00132658">
      <w:pPr>
        <w:rPr>
          <w:sz w:val="28"/>
          <w:szCs w:val="28"/>
        </w:rPr>
      </w:pPr>
      <w:r w:rsidRPr="00C32503">
        <w:rPr>
          <w:sz w:val="28"/>
          <w:szCs w:val="28"/>
        </w:rPr>
        <w:t xml:space="preserve">- ф.0504230 </w:t>
      </w:r>
      <w:r w:rsidR="004F6293" w:rsidRPr="00C32503">
        <w:rPr>
          <w:sz w:val="28"/>
          <w:szCs w:val="28"/>
        </w:rPr>
        <w:t xml:space="preserve"> «Акт о списании материальных запасов» </w:t>
      </w:r>
    </w:p>
    <w:p w:rsidR="00132658" w:rsidRPr="00C32503" w:rsidRDefault="00132658">
      <w:pPr>
        <w:rPr>
          <w:sz w:val="28"/>
          <w:szCs w:val="28"/>
        </w:rPr>
      </w:pPr>
      <w:r w:rsidRPr="00C32503">
        <w:rPr>
          <w:sz w:val="28"/>
          <w:szCs w:val="28"/>
        </w:rPr>
        <w:t xml:space="preserve">- ф.0504816 </w:t>
      </w:r>
      <w:r w:rsidR="004F6293" w:rsidRPr="00C32503">
        <w:rPr>
          <w:sz w:val="28"/>
          <w:szCs w:val="28"/>
        </w:rPr>
        <w:t xml:space="preserve"> «Акт о списании бланков строгой отчетности» </w:t>
      </w:r>
    </w:p>
    <w:p w:rsidR="00132658" w:rsidRPr="00C32503" w:rsidRDefault="00132658">
      <w:pPr>
        <w:rPr>
          <w:sz w:val="28"/>
          <w:szCs w:val="28"/>
        </w:rPr>
      </w:pPr>
      <w:r w:rsidRPr="00C32503">
        <w:rPr>
          <w:sz w:val="28"/>
          <w:szCs w:val="28"/>
        </w:rPr>
        <w:t xml:space="preserve">- ф.0504044 </w:t>
      </w:r>
      <w:r w:rsidR="004F6293" w:rsidRPr="00C32503">
        <w:rPr>
          <w:sz w:val="28"/>
          <w:szCs w:val="28"/>
        </w:rPr>
        <w:t xml:space="preserve"> «Книга регистрации боя посуды» </w:t>
      </w:r>
    </w:p>
    <w:p w:rsidR="00132658" w:rsidRPr="00C32503" w:rsidRDefault="00132658">
      <w:pPr>
        <w:rPr>
          <w:sz w:val="28"/>
          <w:szCs w:val="28"/>
        </w:rPr>
      </w:pPr>
    </w:p>
    <w:p w:rsidR="00132658" w:rsidRPr="00C32503" w:rsidRDefault="00132658">
      <w:pPr>
        <w:rPr>
          <w:sz w:val="28"/>
          <w:szCs w:val="28"/>
        </w:rPr>
      </w:pPr>
    </w:p>
    <w:p w:rsidR="00E22C98" w:rsidRDefault="00E22C98">
      <w:pPr>
        <w:rPr>
          <w:sz w:val="28"/>
          <w:szCs w:val="28"/>
        </w:rPr>
      </w:pPr>
    </w:p>
    <w:p w:rsidR="00E22C98" w:rsidRPr="00E85087" w:rsidRDefault="00E22C98">
      <w:pPr>
        <w:rPr>
          <w:sz w:val="28"/>
          <w:szCs w:val="28"/>
        </w:rPr>
      </w:pPr>
    </w:p>
    <w:sectPr w:rsidR="00E22C98" w:rsidRPr="00E85087" w:rsidSect="00185E7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E85087"/>
    <w:rsid w:val="000107DE"/>
    <w:rsid w:val="000452F4"/>
    <w:rsid w:val="000A64FC"/>
    <w:rsid w:val="000D215E"/>
    <w:rsid w:val="000E6483"/>
    <w:rsid w:val="000F29C6"/>
    <w:rsid w:val="001315A7"/>
    <w:rsid w:val="00132658"/>
    <w:rsid w:val="00185E7A"/>
    <w:rsid w:val="00213A6C"/>
    <w:rsid w:val="002A53AD"/>
    <w:rsid w:val="00324319"/>
    <w:rsid w:val="00340640"/>
    <w:rsid w:val="00355F2C"/>
    <w:rsid w:val="004C2169"/>
    <w:rsid w:val="004C24DF"/>
    <w:rsid w:val="004F1C1C"/>
    <w:rsid w:val="004F6293"/>
    <w:rsid w:val="005C653B"/>
    <w:rsid w:val="0062147E"/>
    <w:rsid w:val="00665E6D"/>
    <w:rsid w:val="00697636"/>
    <w:rsid w:val="006C0DCB"/>
    <w:rsid w:val="006F4B53"/>
    <w:rsid w:val="0089760B"/>
    <w:rsid w:val="009060CC"/>
    <w:rsid w:val="009313F5"/>
    <w:rsid w:val="00936964"/>
    <w:rsid w:val="009425D6"/>
    <w:rsid w:val="00953E6B"/>
    <w:rsid w:val="0096234A"/>
    <w:rsid w:val="009A451A"/>
    <w:rsid w:val="009E14C0"/>
    <w:rsid w:val="00A216C9"/>
    <w:rsid w:val="00A82D68"/>
    <w:rsid w:val="00AE3894"/>
    <w:rsid w:val="00B5534C"/>
    <w:rsid w:val="00C032C5"/>
    <w:rsid w:val="00C32503"/>
    <w:rsid w:val="00C86615"/>
    <w:rsid w:val="00CD3324"/>
    <w:rsid w:val="00D22023"/>
    <w:rsid w:val="00E22C98"/>
    <w:rsid w:val="00E85087"/>
    <w:rsid w:val="00F46FF8"/>
    <w:rsid w:val="00F548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ru-RU"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087"/>
  </w:style>
  <w:style w:type="paragraph" w:styleId="1">
    <w:name w:val="heading 1"/>
    <w:basedOn w:val="a"/>
    <w:next w:val="a"/>
    <w:link w:val="10"/>
    <w:qFormat/>
    <w:rsid w:val="002A53A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semiHidden/>
    <w:unhideWhenUsed/>
    <w:qFormat/>
    <w:rsid w:val="002A53AD"/>
    <w:pPr>
      <w:keepNext/>
      <w:spacing w:before="240" w:after="60"/>
      <w:outlineLvl w:val="1"/>
    </w:pPr>
    <w:rPr>
      <w:rFonts w:eastAsiaTheme="majorEastAsia" w:cstheme="majorBidi"/>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A53AD"/>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2A53AD"/>
    <w:rPr>
      <w:rFonts w:ascii="Times New Roman" w:eastAsiaTheme="majorEastAsia" w:hAnsi="Times New Roman" w:cstheme="majorBidi"/>
      <w:b/>
      <w:bCs/>
      <w:iCs/>
      <w:sz w:val="28"/>
      <w:szCs w:val="28"/>
      <w:lang w:eastAsia="ru-RU"/>
    </w:rPr>
  </w:style>
  <w:style w:type="paragraph" w:styleId="11">
    <w:name w:val="toc 1"/>
    <w:basedOn w:val="a"/>
    <w:next w:val="a"/>
    <w:autoRedefine/>
    <w:uiPriority w:val="39"/>
    <w:rsid w:val="002A53AD"/>
    <w:rPr>
      <w:rFonts w:eastAsia="Times New Roman"/>
    </w:rPr>
  </w:style>
  <w:style w:type="paragraph" w:styleId="a3">
    <w:name w:val="header"/>
    <w:basedOn w:val="a"/>
    <w:link w:val="a4"/>
    <w:rsid w:val="002A53AD"/>
    <w:pPr>
      <w:tabs>
        <w:tab w:val="center" w:pos="4677"/>
        <w:tab w:val="right" w:pos="9355"/>
      </w:tabs>
    </w:pPr>
    <w:rPr>
      <w:rFonts w:eastAsia="Times New Roman"/>
    </w:rPr>
  </w:style>
  <w:style w:type="character" w:customStyle="1" w:styleId="a4">
    <w:name w:val="Верхний колонтитул Знак"/>
    <w:basedOn w:val="a0"/>
    <w:link w:val="a3"/>
    <w:rsid w:val="002A53AD"/>
    <w:rPr>
      <w:rFonts w:ascii="Times New Roman" w:eastAsia="Times New Roman" w:hAnsi="Times New Roman" w:cs="Times New Roman"/>
      <w:sz w:val="20"/>
      <w:szCs w:val="20"/>
      <w:lang w:eastAsia="ru-RU"/>
    </w:rPr>
  </w:style>
  <w:style w:type="paragraph" w:styleId="a5">
    <w:name w:val="footer"/>
    <w:basedOn w:val="a"/>
    <w:link w:val="a6"/>
    <w:uiPriority w:val="99"/>
    <w:rsid w:val="002A53AD"/>
    <w:pPr>
      <w:tabs>
        <w:tab w:val="center" w:pos="4677"/>
        <w:tab w:val="right" w:pos="9355"/>
      </w:tabs>
    </w:pPr>
    <w:rPr>
      <w:rFonts w:eastAsia="Times New Roman"/>
    </w:rPr>
  </w:style>
  <w:style w:type="character" w:customStyle="1" w:styleId="a6">
    <w:name w:val="Нижний колонтитул Знак"/>
    <w:basedOn w:val="a0"/>
    <w:link w:val="a5"/>
    <w:uiPriority w:val="99"/>
    <w:rsid w:val="002A53AD"/>
    <w:rPr>
      <w:rFonts w:ascii="Times New Roman" w:eastAsia="Times New Roman" w:hAnsi="Times New Roman" w:cs="Times New Roman"/>
      <w:sz w:val="20"/>
      <w:szCs w:val="20"/>
      <w:lang w:eastAsia="ru-RU"/>
    </w:rPr>
  </w:style>
  <w:style w:type="paragraph" w:styleId="a7">
    <w:name w:val="Body Text"/>
    <w:basedOn w:val="a"/>
    <w:link w:val="a8"/>
    <w:rsid w:val="002A53AD"/>
    <w:pPr>
      <w:spacing w:after="120"/>
    </w:pPr>
    <w:rPr>
      <w:rFonts w:eastAsia="Times New Roman"/>
    </w:rPr>
  </w:style>
  <w:style w:type="character" w:customStyle="1" w:styleId="a8">
    <w:name w:val="Основной текст Знак"/>
    <w:basedOn w:val="a0"/>
    <w:link w:val="a7"/>
    <w:rsid w:val="002A53AD"/>
    <w:rPr>
      <w:rFonts w:ascii="Times New Roman" w:eastAsia="Times New Roman" w:hAnsi="Times New Roman" w:cs="Times New Roman"/>
      <w:sz w:val="20"/>
      <w:szCs w:val="20"/>
      <w:lang w:eastAsia="ru-RU"/>
    </w:rPr>
  </w:style>
  <w:style w:type="paragraph" w:styleId="a9">
    <w:name w:val="Body Text Indent"/>
    <w:basedOn w:val="a"/>
    <w:link w:val="aa"/>
    <w:rsid w:val="002A53AD"/>
    <w:pPr>
      <w:spacing w:after="120" w:line="360" w:lineRule="auto"/>
      <w:ind w:left="283" w:firstLine="709"/>
      <w:jc w:val="both"/>
    </w:pPr>
    <w:rPr>
      <w:rFonts w:eastAsia="Times New Roman"/>
      <w:sz w:val="28"/>
      <w:szCs w:val="24"/>
    </w:rPr>
  </w:style>
  <w:style w:type="character" w:customStyle="1" w:styleId="aa">
    <w:name w:val="Основной текст с отступом Знак"/>
    <w:basedOn w:val="a0"/>
    <w:link w:val="a9"/>
    <w:rsid w:val="002A53AD"/>
    <w:rPr>
      <w:rFonts w:ascii="Times New Roman" w:eastAsia="Times New Roman" w:hAnsi="Times New Roman" w:cs="Times New Roman"/>
      <w:sz w:val="28"/>
      <w:szCs w:val="24"/>
      <w:lang w:eastAsia="ru-RU"/>
    </w:rPr>
  </w:style>
  <w:style w:type="character" w:styleId="ab">
    <w:name w:val="Hyperlink"/>
    <w:uiPriority w:val="99"/>
    <w:unhideWhenUsed/>
    <w:rsid w:val="002A53AD"/>
    <w:rPr>
      <w:color w:val="0000FF"/>
      <w:u w:val="single"/>
    </w:rPr>
  </w:style>
  <w:style w:type="paragraph" w:styleId="ac">
    <w:name w:val="TOC Heading"/>
    <w:basedOn w:val="1"/>
    <w:next w:val="a"/>
    <w:uiPriority w:val="39"/>
    <w:semiHidden/>
    <w:unhideWhenUsed/>
    <w:qFormat/>
    <w:rsid w:val="002A53AD"/>
    <w:pPr>
      <w:keepLines/>
      <w:spacing w:before="480" w:after="0" w:line="276" w:lineRule="auto"/>
      <w:outlineLvl w:val="9"/>
    </w:pPr>
    <w:rPr>
      <w:rFonts w:asciiTheme="majorHAnsi" w:eastAsiaTheme="majorEastAsia" w:hAnsiTheme="majorHAnsi" w:cstheme="majorBidi"/>
      <w:color w:val="365F91"/>
      <w:kern w:val="0"/>
      <w:sz w:val="28"/>
      <w:szCs w:val="28"/>
    </w:rPr>
  </w:style>
  <w:style w:type="paragraph" w:styleId="ad">
    <w:name w:val="Balloon Text"/>
    <w:basedOn w:val="a"/>
    <w:link w:val="ae"/>
    <w:rsid w:val="004F6293"/>
    <w:rPr>
      <w:rFonts w:ascii="Tahoma" w:hAnsi="Tahoma" w:cs="Tahoma"/>
      <w:sz w:val="16"/>
      <w:szCs w:val="16"/>
    </w:rPr>
  </w:style>
  <w:style w:type="character" w:customStyle="1" w:styleId="ae">
    <w:name w:val="Текст выноски Знак"/>
    <w:basedOn w:val="a0"/>
    <w:link w:val="ad"/>
    <w:rsid w:val="004F629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310D9-33D0-405B-B642-8553B9022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1295</Words>
  <Characters>7383</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Лариса</cp:lastModifiedBy>
  <cp:revision>4</cp:revision>
  <cp:lastPrinted>2019-03-07T19:19:00Z</cp:lastPrinted>
  <dcterms:created xsi:type="dcterms:W3CDTF">2019-03-08T06:39:00Z</dcterms:created>
  <dcterms:modified xsi:type="dcterms:W3CDTF">2019-04-16T08:29:00Z</dcterms:modified>
</cp:coreProperties>
</file>